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FED18E1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3641A0">
        <w:rPr>
          <w:rFonts w:cs="Arial"/>
          <w:szCs w:val="20"/>
        </w:rPr>
        <w:t>21</w:t>
      </w:r>
      <w:r w:rsidR="00E44C65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nákup kompletného granulovaného štartéra pre teľatá, od 1 týždňa veku do 6 mesiacov.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3013" w14:textId="77777777" w:rsidR="00DD22D9" w:rsidRDefault="00DD22D9">
      <w:r>
        <w:separator/>
      </w:r>
    </w:p>
  </w:endnote>
  <w:endnote w:type="continuationSeparator" w:id="0">
    <w:p w14:paraId="590CF9B4" w14:textId="77777777" w:rsidR="00DD22D9" w:rsidRDefault="00DD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4332" w14:textId="77777777" w:rsidR="00DD22D9" w:rsidRDefault="00DD22D9">
      <w:r>
        <w:separator/>
      </w:r>
    </w:p>
  </w:footnote>
  <w:footnote w:type="continuationSeparator" w:id="0">
    <w:p w14:paraId="43AFC5F4" w14:textId="77777777" w:rsidR="00DD22D9" w:rsidRDefault="00DD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1A0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11E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2D9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2026-02-26T09:47:00Z</dcterms:modified>
  <cp:category>EIZ</cp:category>
</cp:coreProperties>
</file>