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5A7447B7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51715A" w:rsidRPr="00517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Zabezpečenie licencií a podpory Rapid 7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517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5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3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819"/>
        <w:gridCol w:w="1701"/>
        <w:gridCol w:w="1701"/>
        <w:gridCol w:w="1559"/>
        <w:gridCol w:w="1276"/>
        <w:gridCol w:w="1737"/>
      </w:tblGrid>
      <w:tr w:rsidR="00650FDE" w:rsidRPr="00A1399C" w14:paraId="280894FF" w14:textId="77777777" w:rsidTr="00082C91">
        <w:trPr>
          <w:trHeight w:val="1648"/>
          <w:jc w:val="center"/>
        </w:trPr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1B515938" w14:textId="77777777" w:rsidR="00650FDE" w:rsidRPr="00A1399C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819" w:type="dxa"/>
            <w:shd w:val="clear" w:color="000000" w:fill="D9D9D9"/>
            <w:noWrap/>
            <w:vAlign w:val="center"/>
            <w:hideMark/>
          </w:tcPr>
          <w:p w14:paraId="1AD87058" w14:textId="77777777" w:rsidR="00650FDE" w:rsidRPr="00A1399C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14:paraId="7C5A9FE1" w14:textId="6B572B9B" w:rsidR="00650FDE" w:rsidRPr="00A1399C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Produktové označenie licencie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584253C" w14:textId="77777777" w:rsidR="00650FDE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í/podpory</w:t>
            </w:r>
          </w:p>
          <w:p w14:paraId="09952E7D" w14:textId="77777777" w:rsidR="00650FDE" w:rsidRPr="00A1399C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(od - do)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3B253406" w14:textId="2721DFDA" w:rsidR="00650FDE" w:rsidRPr="008C0B4B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 w:rsidR="0051715A">
              <w:rPr>
                <w:rFonts w:ascii="Times New Roman" w:eastAsia="Times New Roman" w:hAnsi="Times New Roman"/>
                <w:b/>
                <w:bCs/>
                <w:lang w:eastAsia="sk-SK"/>
              </w:rPr>
              <w:t>zariadení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, pre ktoré je potrebné zabezpečiť licencie /podporu</w:t>
            </w:r>
            <w:r w:rsidR="000E2EF1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</w:t>
            </w:r>
            <w:r w:rsidR="000E2EF1" w:rsidRPr="00A33111">
              <w:rPr>
                <w:rFonts w:ascii="Times New Roman" w:eastAsia="Times New Roman" w:hAnsi="Times New Roman"/>
                <w:b/>
                <w:bCs/>
                <w:lang w:eastAsia="sk-SK"/>
              </w:rPr>
              <w:t>(resp.</w:t>
            </w:r>
            <w:r w:rsidR="00082C91" w:rsidRPr="00A33111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</w:t>
            </w:r>
            <w:r w:rsidR="000E2EF1" w:rsidRPr="00A33111">
              <w:rPr>
                <w:rFonts w:ascii="Times New Roman" w:eastAsia="Times New Roman" w:hAnsi="Times New Roman"/>
                <w:b/>
                <w:bCs/>
                <w:lang w:eastAsia="sk-SK"/>
              </w:rPr>
              <w:t>počet ks licen</w:t>
            </w:r>
            <w:r w:rsidR="00082C91" w:rsidRPr="00A33111">
              <w:rPr>
                <w:rFonts w:ascii="Times New Roman" w:eastAsia="Times New Roman" w:hAnsi="Times New Roman"/>
                <w:b/>
                <w:bCs/>
                <w:lang w:eastAsia="sk-SK"/>
              </w:rPr>
              <w:t>c</w:t>
            </w:r>
            <w:r w:rsidR="000E2EF1" w:rsidRPr="00A33111">
              <w:rPr>
                <w:rFonts w:ascii="Times New Roman" w:eastAsia="Times New Roman" w:hAnsi="Times New Roman"/>
                <w:b/>
                <w:bCs/>
                <w:lang w:eastAsia="sk-SK"/>
              </w:rPr>
              <w:t>ie/služby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1D499004" w14:textId="77777777" w:rsidR="00650FDE" w:rsidRPr="003148DB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37" w:type="dxa"/>
            <w:shd w:val="clear" w:color="000000" w:fill="D9D9D9"/>
            <w:noWrap/>
            <w:vAlign w:val="center"/>
            <w:hideMark/>
          </w:tcPr>
          <w:p w14:paraId="2A26A805" w14:textId="77777777" w:rsidR="00650FDE" w:rsidRPr="00A1399C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Celková cena za položku (súčin jedn.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ceny za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položku a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počtu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produktov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EUR bez DPH</w:t>
            </w:r>
          </w:p>
        </w:tc>
      </w:tr>
      <w:tr w:rsidR="00650FDE" w:rsidRPr="00C43AB3" w14:paraId="6EA2AC87" w14:textId="77777777" w:rsidTr="00082C91">
        <w:trPr>
          <w:trHeight w:val="1969"/>
          <w:jc w:val="center"/>
        </w:trPr>
        <w:tc>
          <w:tcPr>
            <w:tcW w:w="988" w:type="dxa"/>
            <w:noWrap/>
            <w:vAlign w:val="center"/>
          </w:tcPr>
          <w:p w14:paraId="6C48B18F" w14:textId="77777777" w:rsidR="00650FDE" w:rsidRPr="00C43AB3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819" w:type="dxa"/>
            <w:noWrap/>
          </w:tcPr>
          <w:p w14:paraId="26465355" w14:textId="77777777" w:rsidR="0051715A" w:rsidRPr="0051715A" w:rsidRDefault="0051715A" w:rsidP="0051715A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Licencia Rapid 7 - SIEM (</w:t>
            </w:r>
            <w:proofErr w:type="spellStart"/>
            <w:r w:rsidRPr="0051715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Security</w:t>
            </w:r>
            <w:proofErr w:type="spellEnd"/>
            <w:r w:rsidRPr="0051715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51715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information</w:t>
            </w:r>
            <w:proofErr w:type="spellEnd"/>
            <w:r w:rsidRPr="0051715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and event management)</w:t>
            </w:r>
          </w:p>
          <w:p w14:paraId="72F7A537" w14:textId="77777777" w:rsidR="0051715A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InsightIDR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Intrusion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Detection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and 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Response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) 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subscription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- 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Ultimate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umožňujúca identifikáciu potenciálnych hrozieb a prienikov do infraštruktúry s podporou automatizovania následných protiopatrení.</w:t>
            </w:r>
          </w:p>
          <w:p w14:paraId="218A17CF" w14:textId="77777777" w:rsidR="0051715A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Licencia je vrátane podpory, ktorá obsahuje:</w:t>
            </w:r>
          </w:p>
          <w:p w14:paraId="49C0182C" w14:textId="77777777" w:rsidR="0051715A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Zákaznícky portál: Prístup k odporúčaným 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informáciam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o pomoci a možnosť kontaktovať podporný tým. Umožňuje jednoduché vytváranie a správu prípadov a smerovanie k špecialistom na konkrétne produkty.</w:t>
            </w:r>
          </w:p>
          <w:p w14:paraId="696C1DC2" w14:textId="77777777" w:rsidR="0051715A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Produktová dokumentácia: Podrobné návody na používanie a správu produktov Rapid7 vrátane 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InsightIDR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  <w:p w14:paraId="73BE8A25" w14:textId="77777777" w:rsidR="0051715A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Školenia a certifikácie: Možnosť získať odborné školenia a certifikácie na zvýšenie bezpečnostných zručností.</w:t>
            </w:r>
          </w:p>
          <w:p w14:paraId="313CB37F" w14:textId="6FC69224" w:rsidR="00650FDE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Konzultačné služby: Podpora pri plánovaní a stratégii bezpečnostného programu, vrátane </w:t>
            </w: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penetračného testovania a riadených služieb pre správu zraniteľností.</w:t>
            </w:r>
          </w:p>
        </w:tc>
        <w:tc>
          <w:tcPr>
            <w:tcW w:w="1701" w:type="dxa"/>
            <w:vAlign w:val="center"/>
          </w:tcPr>
          <w:p w14:paraId="00BED25A" w14:textId="260F7B9B" w:rsidR="00650FDE" w:rsidRPr="005A5F2F" w:rsidRDefault="0051715A" w:rsidP="0051715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1715A">
              <w:rPr>
                <w:rFonts w:ascii="Times New Roman" w:hAnsi="Times New Roman"/>
                <w:color w:val="000000" w:themeColor="text1"/>
                <w:lang w:eastAsia="zh-CN"/>
              </w:rPr>
              <w:lastRenderedPageBreak/>
              <w:t>IDR-ULT-SUB</w:t>
            </w:r>
          </w:p>
        </w:tc>
        <w:tc>
          <w:tcPr>
            <w:tcW w:w="1701" w:type="dxa"/>
            <w:vAlign w:val="center"/>
          </w:tcPr>
          <w:p w14:paraId="7B2F202E" w14:textId="60346CB1" w:rsidR="00650FDE" w:rsidRDefault="0051715A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25.04.</w:t>
            </w:r>
            <w:r w:rsidR="00650FDE">
              <w:rPr>
                <w:rFonts w:ascii="Times New Roman" w:hAnsi="Times New Roman"/>
                <w:color w:val="000000"/>
              </w:rPr>
              <w:t>2026</w:t>
            </w:r>
          </w:p>
          <w:p w14:paraId="59F286BF" w14:textId="77777777" w:rsidR="00650FDE" w:rsidRDefault="00650FDE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4828438C" w14:textId="7B18A66A" w:rsidR="00650FDE" w:rsidRPr="005A5F2F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24</w:t>
            </w:r>
            <w:r w:rsidR="00650FDE">
              <w:rPr>
                <w:rFonts w:ascii="Times New Roman" w:eastAsia="Times New Roman" w:hAnsi="Times New Roman"/>
                <w:color w:val="000000"/>
                <w:lang w:eastAsia="sk-SK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4</w:t>
            </w:r>
            <w:r w:rsidR="00650FDE">
              <w:rPr>
                <w:rFonts w:ascii="Times New Roman" w:eastAsia="Times New Roman" w:hAnsi="Times New Roman"/>
                <w:color w:val="000000"/>
                <w:lang w:eastAsia="sk-SK"/>
              </w:rPr>
              <w:t>.2027</w:t>
            </w:r>
          </w:p>
        </w:tc>
        <w:tc>
          <w:tcPr>
            <w:tcW w:w="1559" w:type="dxa"/>
            <w:vAlign w:val="center"/>
          </w:tcPr>
          <w:p w14:paraId="4BB43CDB" w14:textId="6DD6F66D" w:rsidR="00650FDE" w:rsidRPr="005A5F2F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2500</w:t>
            </w:r>
          </w:p>
        </w:tc>
        <w:tc>
          <w:tcPr>
            <w:tcW w:w="1276" w:type="dxa"/>
            <w:noWrap/>
            <w:vAlign w:val="center"/>
          </w:tcPr>
          <w:p w14:paraId="5C8F8615" w14:textId="77777777" w:rsidR="00650FDE" w:rsidRPr="00C43AB3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37" w:type="dxa"/>
            <w:noWrap/>
            <w:vAlign w:val="center"/>
          </w:tcPr>
          <w:p w14:paraId="0917BC62" w14:textId="77777777" w:rsidR="00650FDE" w:rsidRPr="00C43AB3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A80C81" w:rsidRPr="00C43AB3" w14:paraId="7796338D" w14:textId="77777777" w:rsidTr="00082C91">
        <w:trPr>
          <w:trHeight w:val="1969"/>
          <w:jc w:val="center"/>
        </w:trPr>
        <w:tc>
          <w:tcPr>
            <w:tcW w:w="988" w:type="dxa"/>
            <w:noWrap/>
            <w:vAlign w:val="center"/>
          </w:tcPr>
          <w:p w14:paraId="63E17304" w14:textId="5844A8B9" w:rsidR="00A80C81" w:rsidRDefault="00A80C81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4819" w:type="dxa"/>
            <w:noWrap/>
          </w:tcPr>
          <w:p w14:paraId="743BD925" w14:textId="77777777" w:rsidR="0051715A" w:rsidRPr="0051715A" w:rsidRDefault="0051715A" w:rsidP="0051715A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Licencia Rapid 7 - MANAŽMENT ZRANITEĽNOSTÍ</w:t>
            </w: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umožňujúca proaktívne vyhľadávanie a identifikáciu zraniteľností a následný manažment životného cyklu odstraňovania nájdených zraniteľností. </w:t>
            </w:r>
          </w:p>
          <w:p w14:paraId="370664B1" w14:textId="57BE4FAB" w:rsidR="0051715A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Zahŕňa zisťovanie, neobmedzené skenovacie nástroje, neobmedzené množstvo šablón a až 3 konzoly 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InsightVM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 1 rok.</w:t>
            </w:r>
            <w:r w:rsidR="002C12A3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Licencia je vrátane podpory, ktorá obsahuje:</w:t>
            </w:r>
          </w:p>
          <w:p w14:paraId="0B51A4B5" w14:textId="77777777" w:rsidR="0051715A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Zákaznícky portál: Prístup k informáciám o pomoci a možnosť kontaktovať podporný tým. Umožňuje jednoduché vytváranie a správu prípadov a smerovanie k špecialistom na konkrétne produkty.</w:t>
            </w:r>
          </w:p>
          <w:p w14:paraId="56287564" w14:textId="77777777" w:rsidR="0051715A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Produktová dokumentácia: Podrobné návody na používanie a správu 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InsightVM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, vrátane inštalácií, konfigurácií a najlepších postupov.</w:t>
            </w:r>
          </w:p>
          <w:p w14:paraId="692C5BA9" w14:textId="77777777" w:rsidR="0051715A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Školenia a certifikácie: Možnosť získať odborné školenie a certifikácie na zvýšenie bezpečnostných zručností a efektívne využívanie </w:t>
            </w:r>
            <w:proofErr w:type="spellStart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InsightVM</w:t>
            </w:r>
            <w:proofErr w:type="spellEnd"/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  <w:p w14:paraId="5B065E2E" w14:textId="65C55688" w:rsidR="00A80C81" w:rsidRPr="0051715A" w:rsidRDefault="0051715A" w:rsidP="0051715A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1715A">
              <w:rPr>
                <w:rFonts w:ascii="Times New Roman" w:eastAsia="Times New Roman" w:hAnsi="Times New Roman"/>
                <w:color w:val="000000"/>
                <w:lang w:eastAsia="sk-SK"/>
              </w:rPr>
              <w:t>Konzultačné služby: Podpora pri plánovaní a stratégii bezpečnostného programu, vrátane penetračného testovania a riadených služieb pre správu zraniteľností.</w:t>
            </w:r>
          </w:p>
        </w:tc>
        <w:tc>
          <w:tcPr>
            <w:tcW w:w="1701" w:type="dxa"/>
            <w:vAlign w:val="center"/>
          </w:tcPr>
          <w:p w14:paraId="1E5802F9" w14:textId="2C42483C" w:rsidR="00A80C81" w:rsidRPr="00650FDE" w:rsidRDefault="0051715A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1715A">
              <w:rPr>
                <w:rFonts w:ascii="Times New Roman" w:hAnsi="Times New Roman"/>
                <w:color w:val="000000" w:themeColor="text1"/>
                <w:lang w:eastAsia="zh-CN"/>
              </w:rPr>
              <w:t>IVM</w:t>
            </w:r>
          </w:p>
        </w:tc>
        <w:tc>
          <w:tcPr>
            <w:tcW w:w="1701" w:type="dxa"/>
            <w:vAlign w:val="center"/>
          </w:tcPr>
          <w:p w14:paraId="7B1BF637" w14:textId="77777777" w:rsidR="0051715A" w:rsidRDefault="0051715A" w:rsidP="0051715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25.04.2026</w:t>
            </w:r>
          </w:p>
          <w:p w14:paraId="7AC18DA5" w14:textId="77777777" w:rsidR="0051715A" w:rsidRDefault="0051715A" w:rsidP="0051715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3176D264" w14:textId="6E63E1E8" w:rsidR="00A80C81" w:rsidRDefault="0051715A" w:rsidP="0051715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24.04.2027</w:t>
            </w:r>
          </w:p>
        </w:tc>
        <w:tc>
          <w:tcPr>
            <w:tcW w:w="1559" w:type="dxa"/>
            <w:vAlign w:val="center"/>
          </w:tcPr>
          <w:p w14:paraId="36720831" w14:textId="03EDBB11" w:rsidR="00A80C81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3000</w:t>
            </w:r>
          </w:p>
        </w:tc>
        <w:tc>
          <w:tcPr>
            <w:tcW w:w="1276" w:type="dxa"/>
            <w:noWrap/>
            <w:vAlign w:val="center"/>
          </w:tcPr>
          <w:p w14:paraId="4FB10CAD" w14:textId="77777777" w:rsidR="00A80C81" w:rsidRPr="00C43AB3" w:rsidRDefault="00A80C81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37" w:type="dxa"/>
            <w:noWrap/>
            <w:vAlign w:val="center"/>
          </w:tcPr>
          <w:p w14:paraId="5640309F" w14:textId="77777777" w:rsidR="00A80C81" w:rsidRPr="00C43AB3" w:rsidRDefault="00A80C81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51715A" w:rsidRPr="00C43AB3" w14:paraId="2DEF71E8" w14:textId="77777777" w:rsidTr="00082C91">
        <w:trPr>
          <w:trHeight w:val="1969"/>
          <w:jc w:val="center"/>
        </w:trPr>
        <w:tc>
          <w:tcPr>
            <w:tcW w:w="988" w:type="dxa"/>
            <w:noWrap/>
            <w:vAlign w:val="center"/>
          </w:tcPr>
          <w:p w14:paraId="2F755C5F" w14:textId="420ECE50" w:rsidR="0051715A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3</w:t>
            </w:r>
          </w:p>
        </w:tc>
        <w:tc>
          <w:tcPr>
            <w:tcW w:w="4819" w:type="dxa"/>
            <w:noWrap/>
          </w:tcPr>
          <w:p w14:paraId="72EA52A7" w14:textId="77777777" w:rsidR="00AE6629" w:rsidRPr="00AE6629" w:rsidRDefault="00AE6629" w:rsidP="00AE6629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Surface</w:t>
            </w:r>
            <w:proofErr w:type="spellEnd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command</w:t>
            </w:r>
            <w:proofErr w:type="spellEnd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 - </w:t>
            </w:r>
            <w:proofErr w:type="spellStart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Attack</w:t>
            </w:r>
            <w:proofErr w:type="spellEnd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Surface</w:t>
            </w:r>
            <w:proofErr w:type="spellEnd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Management </w:t>
            </w: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- Softvérová licencia zabezpečujúca prístup k pokročilému rozhraniu pre správu a monitorovanie sieťovej infraštruktúry alebo špecifických hardvérových komponentov (podľa určenia v hlavnom systéme). Modul umožňuje centralizované riadenie povrchových operácií, vizualizáciu dát v reálnom čase a administráciu kľúčových parametrov systému.</w:t>
            </w:r>
          </w:p>
          <w:p w14:paraId="2271CEED" w14:textId="77777777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Musí byť plne kompatibilný s existujúcim ekosystémom Rapid 7 bez potreby dodatočných úprav rozhrania.</w:t>
            </w:r>
          </w:p>
          <w:p w14:paraId="031C1020" w14:textId="77777777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Aktualizácie a podpora: zahŕňa nárok na všetky vydané bezpečnostné aktualizácie, opravy chýb a funkčné vylepšenia počas doby trvania licencie.</w:t>
            </w:r>
          </w:p>
          <w:p w14:paraId="66A34DAD" w14:textId="77777777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Monitoring a </w:t>
            </w:r>
            <w:proofErr w:type="spellStart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: Nástroje na sledovanie stavu zariadení/procesov a generovanie prevádzkových výstupov.</w:t>
            </w:r>
          </w:p>
          <w:p w14:paraId="44656C3F" w14:textId="21E7CC94" w:rsidR="0051715A" w:rsidRPr="00A80C81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Administratívne rozhranie: Prístup k ovládaciemu panelu (</w:t>
            </w:r>
            <w:proofErr w:type="spellStart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Command</w:t>
            </w:r>
            <w:proofErr w:type="spellEnd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Center) s definovaním užívateľských rolí a prístupových práv.</w:t>
            </w:r>
          </w:p>
        </w:tc>
        <w:tc>
          <w:tcPr>
            <w:tcW w:w="1701" w:type="dxa"/>
            <w:vAlign w:val="center"/>
          </w:tcPr>
          <w:p w14:paraId="01F68E86" w14:textId="0AF4FBB9" w:rsidR="0051715A" w:rsidRPr="00A80C81" w:rsidRDefault="0051715A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1715A">
              <w:rPr>
                <w:rFonts w:ascii="Times New Roman" w:hAnsi="Times New Roman"/>
                <w:color w:val="000000" w:themeColor="text1"/>
                <w:lang w:eastAsia="zh-CN"/>
              </w:rPr>
              <w:t>ASM-SURCOM-SUB</w:t>
            </w:r>
          </w:p>
        </w:tc>
        <w:tc>
          <w:tcPr>
            <w:tcW w:w="1701" w:type="dxa"/>
            <w:vAlign w:val="center"/>
          </w:tcPr>
          <w:p w14:paraId="08DE81F0" w14:textId="77777777" w:rsidR="0051715A" w:rsidRDefault="0051715A" w:rsidP="0051715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25.04.2026</w:t>
            </w:r>
          </w:p>
          <w:p w14:paraId="5B2B8304" w14:textId="77777777" w:rsidR="0051715A" w:rsidRDefault="0051715A" w:rsidP="0051715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6AC651CA" w14:textId="2F4E1E73" w:rsidR="0051715A" w:rsidRDefault="0051715A" w:rsidP="0051715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24.04.2027</w:t>
            </w:r>
          </w:p>
        </w:tc>
        <w:tc>
          <w:tcPr>
            <w:tcW w:w="1559" w:type="dxa"/>
            <w:vAlign w:val="center"/>
          </w:tcPr>
          <w:p w14:paraId="553CAB8B" w14:textId="522E20DD" w:rsidR="0051715A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38DD954" w14:textId="77777777" w:rsidR="0051715A" w:rsidRPr="00C43AB3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37" w:type="dxa"/>
            <w:noWrap/>
            <w:vAlign w:val="center"/>
          </w:tcPr>
          <w:p w14:paraId="43D71939" w14:textId="77777777" w:rsidR="0051715A" w:rsidRPr="00C43AB3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51715A" w:rsidRPr="00C43AB3" w14:paraId="0C194F95" w14:textId="77777777" w:rsidTr="00082C91">
        <w:trPr>
          <w:trHeight w:val="1969"/>
          <w:jc w:val="center"/>
        </w:trPr>
        <w:tc>
          <w:tcPr>
            <w:tcW w:w="988" w:type="dxa"/>
            <w:noWrap/>
            <w:vAlign w:val="center"/>
          </w:tcPr>
          <w:p w14:paraId="60DCC617" w14:textId="4D0D9BF8" w:rsidR="0051715A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4</w:t>
            </w:r>
          </w:p>
        </w:tc>
        <w:tc>
          <w:tcPr>
            <w:tcW w:w="4819" w:type="dxa"/>
            <w:noWrap/>
          </w:tcPr>
          <w:p w14:paraId="078C71E0" w14:textId="77777777" w:rsidR="00AE6629" w:rsidRPr="00AE6629" w:rsidRDefault="00AE6629" w:rsidP="00AE6629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proofErr w:type="spellStart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Profesional</w:t>
            </w:r>
            <w:proofErr w:type="spellEnd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services</w:t>
            </w:r>
            <w:proofErr w:type="spellEnd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- </w:t>
            </w:r>
            <w:proofErr w:type="spellStart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Custom</w:t>
            </w:r>
            <w:proofErr w:type="spellEnd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Deployment</w:t>
            </w:r>
            <w:proofErr w:type="spellEnd"/>
            <w:r w:rsidRPr="00AE662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1F96230" w14:textId="77777777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Odborné technické služby, inštalácia a konfigurácia</w:t>
            </w:r>
          </w:p>
          <w:p w14:paraId="47388DAD" w14:textId="11FAA5FB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Zabezpečenie odborného nasadenia a integrácie softvérového/hardvérového riešenia do existujúcej IT infraštruktúry objednávateľa. Služba zahŕňa kompletný proces od analýzy prostredia až po finálnu akceptáciu riešenia, pričom je prispôsobená </w:t>
            </w: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 xml:space="preserve">špecifickým prevádzkovým požiadavkám </w:t>
            </w:r>
            <w:r w:rsidR="002C12A3">
              <w:rPr>
                <w:rFonts w:ascii="Times New Roman" w:eastAsia="Times New Roman" w:hAnsi="Times New Roman"/>
                <w:color w:val="000000"/>
                <w:lang w:eastAsia="sk-SK"/>
              </w:rPr>
              <w:t>objednávateľa</w:t>
            </w: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  <w:p w14:paraId="5F9FEF33" w14:textId="77777777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Rozsah požadovaných činností:</w:t>
            </w:r>
          </w:p>
          <w:p w14:paraId="15A87110" w14:textId="77777777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Analýza a návrh: Posúdenie pripravenosti infraštruktúry a vypracovanie detailného plánu implementácie (</w:t>
            </w:r>
            <w:proofErr w:type="spellStart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Low</w:t>
            </w:r>
            <w:proofErr w:type="spellEnd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Level Design).</w:t>
            </w:r>
          </w:p>
          <w:p w14:paraId="7A063E1D" w14:textId="77777777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Inštalácia a konfigurácia: Odborná montáž, oživenie systému a nastavenie parametrov podľa osvedčených postupov (Best </w:t>
            </w:r>
            <w:proofErr w:type="spellStart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Practices</w:t>
            </w:r>
            <w:proofErr w:type="spellEnd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) výrobcu.</w:t>
            </w:r>
          </w:p>
          <w:p w14:paraId="5C89CD6D" w14:textId="77777777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Customizácia</w:t>
            </w:r>
            <w:proofErr w:type="spellEnd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(Prispôsobenie): Nastavenie špecifických funkcií, bezpečnostných politík a integračných väzieb na okolité systémy objednávateľa.</w:t>
            </w:r>
          </w:p>
          <w:p w14:paraId="2D9AC835" w14:textId="77777777" w:rsidR="00AE6629" w:rsidRPr="00AE6629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Testovanie: Vykonanie akceptačných testov funkčnosti a overenie stability riešenia v cieľovom prostredí.</w:t>
            </w:r>
          </w:p>
          <w:p w14:paraId="10A8558C" w14:textId="25FF6B87" w:rsidR="0051715A" w:rsidRPr="00A80C81" w:rsidRDefault="00AE6629" w:rsidP="00AE6629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Odovzdanie a dokumentácia: Vypracovanie a odovzdanie skutočnej konfiguračnej dokumentácie a zaškolenie administrátorov (</w:t>
            </w:r>
            <w:proofErr w:type="spellStart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>knowledge</w:t>
            </w:r>
            <w:proofErr w:type="spellEnd"/>
            <w:r w:rsidRPr="00AE66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transfer).</w:t>
            </w:r>
          </w:p>
        </w:tc>
        <w:tc>
          <w:tcPr>
            <w:tcW w:w="1701" w:type="dxa"/>
            <w:vAlign w:val="center"/>
          </w:tcPr>
          <w:p w14:paraId="24E692A2" w14:textId="7F459CD5" w:rsidR="0051715A" w:rsidRPr="00A80C81" w:rsidRDefault="0051715A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1715A">
              <w:rPr>
                <w:rFonts w:ascii="Times New Roman" w:hAnsi="Times New Roman"/>
                <w:color w:val="000000" w:themeColor="text1"/>
                <w:lang w:eastAsia="zh-CN"/>
              </w:rPr>
              <w:lastRenderedPageBreak/>
              <w:t>PSIVMCUSDEP</w:t>
            </w:r>
          </w:p>
        </w:tc>
        <w:tc>
          <w:tcPr>
            <w:tcW w:w="1701" w:type="dxa"/>
            <w:vAlign w:val="center"/>
          </w:tcPr>
          <w:p w14:paraId="62F2EE21" w14:textId="77777777" w:rsidR="0051715A" w:rsidRDefault="0051715A" w:rsidP="0051715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25.04.2026</w:t>
            </w:r>
          </w:p>
          <w:p w14:paraId="1CA6455A" w14:textId="77777777" w:rsidR="0051715A" w:rsidRDefault="0051715A" w:rsidP="0051715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3C942239" w14:textId="31BF4D9C" w:rsidR="0051715A" w:rsidRDefault="0051715A" w:rsidP="0051715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24.04.2027</w:t>
            </w:r>
          </w:p>
        </w:tc>
        <w:tc>
          <w:tcPr>
            <w:tcW w:w="1559" w:type="dxa"/>
            <w:vAlign w:val="center"/>
          </w:tcPr>
          <w:p w14:paraId="19F1C897" w14:textId="4EAFA623" w:rsidR="0051715A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6BA90133" w14:textId="77777777" w:rsidR="0051715A" w:rsidRPr="00C43AB3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37" w:type="dxa"/>
            <w:noWrap/>
            <w:vAlign w:val="center"/>
          </w:tcPr>
          <w:p w14:paraId="4D9FF225" w14:textId="77777777" w:rsidR="0051715A" w:rsidRPr="00C43AB3" w:rsidRDefault="0051715A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A80C81" w:rsidRPr="00C43AB3" w14:paraId="18EA7470" w14:textId="77777777" w:rsidTr="0051715A">
        <w:trPr>
          <w:gridAfter w:val="4"/>
          <w:wAfter w:w="6273" w:type="dxa"/>
          <w:trHeight w:val="693"/>
          <w:jc w:val="center"/>
        </w:trPr>
        <w:tc>
          <w:tcPr>
            <w:tcW w:w="5807" w:type="dxa"/>
            <w:gridSpan w:val="2"/>
            <w:shd w:val="clear" w:color="auto" w:fill="C5E0B3" w:themeFill="accent6" w:themeFillTint="66"/>
            <w:noWrap/>
            <w:vAlign w:val="center"/>
          </w:tcPr>
          <w:p w14:paraId="0AC4EDA3" w14:textId="2F34764A" w:rsidR="00A80C81" w:rsidRPr="00A80C81" w:rsidRDefault="00A80C81" w:rsidP="0051715A">
            <w:pPr>
              <w:spacing w:after="0"/>
              <w:ind w:right="57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Cena za celý predmet zákazky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v EUR 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bez DPH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FDD2ED4" w14:textId="77777777" w:rsidR="00A80C81" w:rsidRPr="00A80C81" w:rsidRDefault="00A80C81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51715A">
      <w:headerReference w:type="first" r:id="rId11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9931" w14:textId="77777777" w:rsidR="00F60568" w:rsidRDefault="00F60568">
      <w:pPr>
        <w:spacing w:after="0" w:line="240" w:lineRule="auto"/>
      </w:pPr>
      <w:r>
        <w:separator/>
      </w:r>
    </w:p>
  </w:endnote>
  <w:endnote w:type="continuationSeparator" w:id="0">
    <w:p w14:paraId="6E6EEE8E" w14:textId="77777777" w:rsidR="00F60568" w:rsidRDefault="00F6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4000" w14:textId="77777777" w:rsidR="00F60568" w:rsidRDefault="00F60568">
      <w:pPr>
        <w:spacing w:after="0" w:line="240" w:lineRule="auto"/>
      </w:pPr>
      <w:r>
        <w:separator/>
      </w:r>
    </w:p>
  </w:footnote>
  <w:footnote w:type="continuationSeparator" w:id="0">
    <w:p w14:paraId="36EF04CD" w14:textId="77777777" w:rsidR="00F60568" w:rsidRDefault="00F6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0"/>
  </w:num>
  <w:num w:numId="2" w16cid:durableId="228421152">
    <w:abstractNumId w:val="47"/>
  </w:num>
  <w:num w:numId="3" w16cid:durableId="1308513335">
    <w:abstractNumId w:val="4"/>
  </w:num>
  <w:num w:numId="4" w16cid:durableId="1155414123">
    <w:abstractNumId w:val="38"/>
  </w:num>
  <w:num w:numId="5" w16cid:durableId="1106149302">
    <w:abstractNumId w:val="23"/>
  </w:num>
  <w:num w:numId="6" w16cid:durableId="1044603061">
    <w:abstractNumId w:val="40"/>
  </w:num>
  <w:num w:numId="7" w16cid:durableId="2075817131">
    <w:abstractNumId w:val="7"/>
  </w:num>
  <w:num w:numId="8" w16cid:durableId="2044940930">
    <w:abstractNumId w:val="44"/>
  </w:num>
  <w:num w:numId="9" w16cid:durableId="135730520">
    <w:abstractNumId w:val="17"/>
  </w:num>
  <w:num w:numId="10" w16cid:durableId="1892425285">
    <w:abstractNumId w:val="39"/>
  </w:num>
  <w:num w:numId="11" w16cid:durableId="2055808719">
    <w:abstractNumId w:val="9"/>
  </w:num>
  <w:num w:numId="12" w16cid:durableId="1709841764">
    <w:abstractNumId w:val="27"/>
  </w:num>
  <w:num w:numId="13" w16cid:durableId="1509758015">
    <w:abstractNumId w:val="37"/>
  </w:num>
  <w:num w:numId="14" w16cid:durableId="1041057973">
    <w:abstractNumId w:val="21"/>
  </w:num>
  <w:num w:numId="15" w16cid:durableId="2063475989">
    <w:abstractNumId w:val="46"/>
  </w:num>
  <w:num w:numId="16" w16cid:durableId="515119526">
    <w:abstractNumId w:val="31"/>
  </w:num>
  <w:num w:numId="17" w16cid:durableId="132410660">
    <w:abstractNumId w:val="26"/>
  </w:num>
  <w:num w:numId="18" w16cid:durableId="191964206">
    <w:abstractNumId w:val="8"/>
  </w:num>
  <w:num w:numId="19" w16cid:durableId="923799572">
    <w:abstractNumId w:val="18"/>
  </w:num>
  <w:num w:numId="20" w16cid:durableId="665211239">
    <w:abstractNumId w:val="5"/>
  </w:num>
  <w:num w:numId="21" w16cid:durableId="784348688">
    <w:abstractNumId w:val="33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6"/>
  </w:num>
  <w:num w:numId="25" w16cid:durableId="847717029">
    <w:abstractNumId w:val="10"/>
  </w:num>
  <w:num w:numId="26" w16cid:durableId="853231777">
    <w:abstractNumId w:val="45"/>
  </w:num>
  <w:num w:numId="27" w16cid:durableId="1240404221">
    <w:abstractNumId w:val="34"/>
  </w:num>
  <w:num w:numId="28" w16cid:durableId="883366988">
    <w:abstractNumId w:val="28"/>
  </w:num>
  <w:num w:numId="29" w16cid:durableId="1549492987">
    <w:abstractNumId w:val="35"/>
  </w:num>
  <w:num w:numId="30" w16cid:durableId="1679769528">
    <w:abstractNumId w:val="32"/>
  </w:num>
  <w:num w:numId="31" w16cid:durableId="1906799681">
    <w:abstractNumId w:val="30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2"/>
  </w:num>
  <w:num w:numId="35" w16cid:durableId="834419892">
    <w:abstractNumId w:val="22"/>
  </w:num>
  <w:num w:numId="36" w16cid:durableId="2140220296">
    <w:abstractNumId w:val="13"/>
  </w:num>
  <w:num w:numId="37" w16cid:durableId="1241986788">
    <w:abstractNumId w:val="25"/>
  </w:num>
  <w:num w:numId="38" w16cid:durableId="1933010734">
    <w:abstractNumId w:val="41"/>
  </w:num>
  <w:num w:numId="39" w16cid:durableId="1335763352">
    <w:abstractNumId w:val="15"/>
  </w:num>
  <w:num w:numId="40" w16cid:durableId="993723531">
    <w:abstractNumId w:val="19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4"/>
  </w:num>
  <w:num w:numId="44" w16cid:durableId="1442529257">
    <w:abstractNumId w:val="24"/>
  </w:num>
  <w:num w:numId="45" w16cid:durableId="850685413">
    <w:abstractNumId w:val="43"/>
  </w:num>
  <w:num w:numId="46" w16cid:durableId="219563750">
    <w:abstractNumId w:val="16"/>
  </w:num>
  <w:num w:numId="47" w16cid:durableId="924917540">
    <w:abstractNumId w:val="29"/>
  </w:num>
  <w:num w:numId="48" w16cid:durableId="201845848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26418"/>
    <w:rsid w:val="00A32C48"/>
    <w:rsid w:val="00A33111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9BC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4485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2026-03-13T09:29:00Z</dcterms:created>
  <dcterms:modified xsi:type="dcterms:W3CDTF">2026-03-19T13:28:00Z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