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744A267C" w:rsidR="00750CDF" w:rsidRPr="00D40F0E" w:rsidRDefault="00D40F0E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F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6 Čadca a SSÚD 6 Martin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2256" w14:textId="77777777" w:rsidR="00D37B90" w:rsidRDefault="00D37B90" w:rsidP="00246A73">
      <w:pPr>
        <w:spacing w:after="0" w:line="240" w:lineRule="auto"/>
      </w:pPr>
      <w:r>
        <w:separator/>
      </w:r>
    </w:p>
  </w:endnote>
  <w:endnote w:type="continuationSeparator" w:id="0">
    <w:p w14:paraId="6CB5FF5C" w14:textId="77777777" w:rsidR="00D37B90" w:rsidRDefault="00D37B90" w:rsidP="00246A73">
      <w:pPr>
        <w:spacing w:after="0" w:line="240" w:lineRule="auto"/>
      </w:pPr>
      <w:r>
        <w:continuationSeparator/>
      </w:r>
    </w:p>
  </w:endnote>
  <w:endnote w:type="continuationNotice" w:id="1">
    <w:p w14:paraId="65EF7287" w14:textId="77777777" w:rsidR="00D37B90" w:rsidRDefault="00D37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362A" w14:textId="77777777" w:rsidR="00D37B90" w:rsidRDefault="00D37B90" w:rsidP="00246A73">
      <w:pPr>
        <w:spacing w:after="0" w:line="240" w:lineRule="auto"/>
      </w:pPr>
      <w:r>
        <w:separator/>
      </w:r>
    </w:p>
  </w:footnote>
  <w:footnote w:type="continuationSeparator" w:id="0">
    <w:p w14:paraId="51E8A1B1" w14:textId="77777777" w:rsidR="00D37B90" w:rsidRDefault="00D37B90" w:rsidP="00246A73">
      <w:pPr>
        <w:spacing w:after="0" w:line="240" w:lineRule="auto"/>
      </w:pPr>
      <w:r>
        <w:continuationSeparator/>
      </w:r>
    </w:p>
  </w:footnote>
  <w:footnote w:type="continuationNotice" w:id="1">
    <w:p w14:paraId="7ECA43B6" w14:textId="77777777" w:rsidR="00D37B90" w:rsidRDefault="00D37B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5184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249BB"/>
    <w:rsid w:val="00D355A8"/>
    <w:rsid w:val="00D37B90"/>
    <w:rsid w:val="00D40F0E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2026-01-21T10:04:00Z</dcterms:modified>
</cp:coreProperties>
</file>