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324506F2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</w:t>
      </w:r>
      <w:r w:rsidR="00E34C90" w:rsidRPr="00E34C9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Zabezpečenie licencií a podpory Flowmon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E34C9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8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16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4395"/>
        <w:gridCol w:w="742"/>
        <w:gridCol w:w="675"/>
        <w:gridCol w:w="1985"/>
        <w:gridCol w:w="450"/>
        <w:gridCol w:w="1251"/>
        <w:gridCol w:w="1417"/>
        <w:gridCol w:w="1560"/>
        <w:gridCol w:w="25"/>
        <w:gridCol w:w="1817"/>
        <w:gridCol w:w="801"/>
      </w:tblGrid>
      <w:tr w:rsidR="00256422" w:rsidRPr="00A1399C" w14:paraId="4EEA8A28" w14:textId="77777777" w:rsidTr="00256422">
        <w:trPr>
          <w:gridAfter w:val="1"/>
          <w:wAfter w:w="801" w:type="dxa"/>
          <w:trHeight w:val="16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29B8B3" w14:textId="77777777" w:rsidR="00256422" w:rsidRPr="00A1399C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F6625" w14:textId="77777777" w:rsidR="00256422" w:rsidRPr="00A1399C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E7F58" w14:textId="77777777" w:rsidR="00256422" w:rsidRPr="00A1399C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Produktové označenie licencie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082E02" w14:textId="77777777" w:rsidR="00256422" w:rsidRPr="004F4AFB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SKU (Stock </w:t>
            </w:r>
            <w:proofErr w:type="spellStart"/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Keeping</w:t>
            </w:r>
            <w:proofErr w:type="spellEnd"/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Unit</w:t>
            </w:r>
            <w:proofErr w:type="spellEnd"/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</w:t>
            </w:r>
          </w:p>
          <w:p w14:paraId="5BD9D0CD" w14:textId="77777777" w:rsidR="00256422" w:rsidRPr="00A1399C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označuje jedinečný identifikátor produktu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C2CA7" w14:textId="77777777" w:rsidR="00256422" w:rsidRPr="00A1399C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licencie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9D6E4" w14:textId="7D4DAD2D" w:rsidR="00256422" w:rsidRPr="00A1399C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zariadení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licencie/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podporu</w:t>
            </w:r>
          </w:p>
          <w:p w14:paraId="6775A299" w14:textId="77777777" w:rsidR="00256422" w:rsidRPr="00A1399C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BA325" w14:textId="77777777" w:rsidR="00256422" w:rsidRPr="00A1399C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E9AEF" w14:textId="061810C0" w:rsidR="00256422" w:rsidRPr="00A1399C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zariadení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EUR bez DPH</w:t>
            </w:r>
          </w:p>
        </w:tc>
      </w:tr>
      <w:tr w:rsidR="00256422" w:rsidRPr="00C43AB3" w14:paraId="781C2D1C" w14:textId="77777777" w:rsidTr="00256422">
        <w:trPr>
          <w:gridAfter w:val="1"/>
          <w:wAfter w:w="801" w:type="dxa"/>
          <w:trHeight w:val="259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F760" w14:textId="77777777" w:rsidR="00256422" w:rsidRPr="00C43AB3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E55B" w14:textId="77777777" w:rsidR="00256422" w:rsidRPr="005B58AE" w:rsidRDefault="00256422" w:rsidP="00BC7AC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 xml:space="preserve">1Y </w:t>
            </w:r>
            <w:proofErr w:type="spellStart"/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Progress</w:t>
            </w:r>
            <w:proofErr w:type="spellEnd"/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 xml:space="preserve"> </w:t>
            </w:r>
            <w:proofErr w:type="spellStart"/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Flowmon</w:t>
            </w:r>
            <w:proofErr w:type="spellEnd"/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 xml:space="preserve"> IFP-40000PRO-SFP+ Standard </w:t>
            </w:r>
            <w:proofErr w:type="spellStart"/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Support</w:t>
            </w:r>
            <w:proofErr w:type="spellEnd"/>
          </w:p>
          <w:p w14:paraId="14A3B8D7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Štandardná podpora zahŕňa:</w:t>
            </w:r>
          </w:p>
          <w:p w14:paraId="67F6CF58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Aktualizácie softvéru:</w:t>
            </w:r>
          </w:p>
          <w:p w14:paraId="027D4880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 xml:space="preserve">Prístup k najnovším verziám softvéru </w:t>
            </w:r>
            <w:proofErr w:type="spellStart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Flowmon</w:t>
            </w:r>
            <w:proofErr w:type="spellEnd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, ktoré obsahujú nové funkcie, vylepšenia a opravy chýb.</w:t>
            </w:r>
          </w:p>
          <w:p w14:paraId="1B530EB3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Technická podpora:</w:t>
            </w:r>
          </w:p>
          <w:p w14:paraId="5C67A558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 xml:space="preserve">Pomoc od technických odborníkov pri riešení problémov súvisiacich s hardvérom alebo softvérom </w:t>
            </w:r>
            <w:proofErr w:type="spellStart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Flowmon</w:t>
            </w:r>
            <w:proofErr w:type="spellEnd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. Táto podpora je poskytovaná prostredníctvom telefónu, e-mailu alebo online portálu.</w:t>
            </w:r>
          </w:p>
          <w:p w14:paraId="0F3F1A48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Prístup k online zdrojom:</w:t>
            </w:r>
          </w:p>
          <w:p w14:paraId="02DFF28F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 xml:space="preserve">Prístup k online dokumentácii, databáze znalostí a ďalším zdrojom, ktoré pomáhajú pri používaní a riešení problémov s </w:t>
            </w:r>
            <w:proofErr w:type="spellStart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Flowmon</w:t>
            </w:r>
            <w:proofErr w:type="spellEnd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.</w:t>
            </w:r>
          </w:p>
          <w:p w14:paraId="6469067A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Záruka na hardvér:</w:t>
            </w:r>
          </w:p>
          <w:p w14:paraId="2C2A6ECF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V prípade hardvérových problémov zahŕňa opravu alebo výmenu zariadenia v rámci záruky.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C8AC" w14:textId="77777777" w:rsidR="00256422" w:rsidRPr="005B58AE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lang w:eastAsia="sk-SK"/>
              </w:rPr>
              <w:t>GS-IFP-40000PRO-SFP+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67A6" w14:textId="77777777" w:rsidR="00256422" w:rsidRPr="005B58AE" w:rsidRDefault="00256422" w:rsidP="00BC7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FM-PRB-HW-PRO-40000-SFP+-SS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F3D7" w14:textId="148106BE" w:rsidR="00256422" w:rsidRPr="005B58AE" w:rsidRDefault="00256422" w:rsidP="00BC7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01.06.202</w:t>
            </w:r>
            <w:r w:rsidR="00AD17CD">
              <w:rPr>
                <w:rFonts w:ascii="Times New Roman" w:hAnsi="Times New Roman"/>
              </w:rPr>
              <w:t>6</w:t>
            </w:r>
          </w:p>
          <w:p w14:paraId="323F6336" w14:textId="77777777" w:rsidR="00256422" w:rsidRPr="005B58AE" w:rsidRDefault="00256422" w:rsidP="00BC7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-</w:t>
            </w:r>
          </w:p>
          <w:p w14:paraId="2878B7E7" w14:textId="7C4DD889" w:rsidR="00256422" w:rsidRPr="00AD17CD" w:rsidRDefault="00256422" w:rsidP="00AD17C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8AE">
              <w:rPr>
                <w:rFonts w:ascii="Times New Roman" w:hAnsi="Times New Roman"/>
              </w:rPr>
              <w:t>31.05.202</w:t>
            </w:r>
            <w:r w:rsidR="00AD17CD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F41B" w14:textId="77777777" w:rsidR="00256422" w:rsidRPr="005B58AE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8BD1" w14:textId="77777777" w:rsidR="00256422" w:rsidRPr="005B58AE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D33B" w14:textId="77777777" w:rsidR="00256422" w:rsidRPr="005B58AE" w:rsidRDefault="00256422" w:rsidP="00BC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256422" w:rsidRPr="00A1399C" w14:paraId="4DEEBEC2" w14:textId="77777777" w:rsidTr="00256422">
        <w:trPr>
          <w:gridAfter w:val="1"/>
          <w:wAfter w:w="801" w:type="dxa"/>
          <w:trHeight w:val="13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9197" w14:textId="77777777" w:rsidR="00256422" w:rsidRPr="00A1399C" w:rsidRDefault="00256422" w:rsidP="00BC7AC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48F7" w14:textId="77777777" w:rsidR="00256422" w:rsidRPr="005B58AE" w:rsidRDefault="00256422" w:rsidP="00BC7AC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proofErr w:type="spellStart"/>
            <w:r w:rsidRPr="005B58AE">
              <w:rPr>
                <w:rFonts w:ascii="Times New Roman" w:eastAsiaTheme="minorHAnsi" w:hAnsi="Times New Roman"/>
                <w:b/>
                <w:bCs/>
              </w:rPr>
              <w:t>Progress</w:t>
            </w:r>
            <w:proofErr w:type="spellEnd"/>
            <w:r w:rsidRPr="005B58AE">
              <w:rPr>
                <w:rFonts w:ascii="Times New Roman" w:eastAsiaTheme="minorHAnsi" w:hAnsi="Times New Roman"/>
                <w:b/>
                <w:bCs/>
              </w:rPr>
              <w:t xml:space="preserve"> </w:t>
            </w:r>
            <w:proofErr w:type="spellStart"/>
            <w:r w:rsidRPr="005B58AE">
              <w:rPr>
                <w:rFonts w:ascii="Times New Roman" w:eastAsiaTheme="minorHAnsi" w:hAnsi="Times New Roman"/>
                <w:b/>
                <w:bCs/>
              </w:rPr>
              <w:t>Flowmon</w:t>
            </w:r>
            <w:proofErr w:type="spellEnd"/>
            <w:r w:rsidRPr="005B58AE">
              <w:rPr>
                <w:rFonts w:ascii="Times New Roman" w:eastAsiaTheme="minorHAnsi" w:hAnsi="Times New Roman"/>
                <w:b/>
                <w:bCs/>
              </w:rPr>
              <w:t xml:space="preserve"> </w:t>
            </w:r>
            <w:proofErr w:type="spellStart"/>
            <w:r w:rsidRPr="005B58AE">
              <w:rPr>
                <w:rFonts w:ascii="Times New Roman" w:eastAsiaTheme="minorHAnsi" w:hAnsi="Times New Roman"/>
                <w:b/>
                <w:bCs/>
              </w:rPr>
              <w:t>Collector</w:t>
            </w:r>
            <w:proofErr w:type="spellEnd"/>
            <w:r w:rsidRPr="005B58AE">
              <w:rPr>
                <w:rFonts w:ascii="Times New Roman" w:eastAsiaTheme="minorHAnsi" w:hAnsi="Times New Roman"/>
                <w:b/>
                <w:bCs/>
              </w:rPr>
              <w:t xml:space="preserve"> 12000 VA 1Y </w:t>
            </w:r>
            <w:proofErr w:type="spellStart"/>
            <w:r w:rsidRPr="005B58AE">
              <w:rPr>
                <w:rFonts w:ascii="Times New Roman" w:eastAsiaTheme="minorHAnsi" w:hAnsi="Times New Roman"/>
                <w:b/>
                <w:bCs/>
              </w:rPr>
              <w:t>Subscription</w:t>
            </w:r>
            <w:proofErr w:type="spellEnd"/>
          </w:p>
          <w:p w14:paraId="71B4EFFD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 xml:space="preserve">Licencia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Progress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Flowmon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Collector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12000 VA 1Y zahŕňa:</w:t>
            </w:r>
          </w:p>
          <w:p w14:paraId="4567A8F5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5B58AE">
              <w:rPr>
                <w:rFonts w:ascii="Times New Roman" w:eastAsiaTheme="minorHAnsi" w:hAnsi="Times New Roman"/>
                <w:b/>
                <w:bCs/>
              </w:rPr>
              <w:t>Zber a ukladanie dát tokov:</w:t>
            </w:r>
          </w:p>
          <w:p w14:paraId="34C99626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5B58AE">
              <w:rPr>
                <w:rFonts w:ascii="Times New Roman" w:eastAsiaTheme="minorHAnsi" w:hAnsi="Times New Roman"/>
              </w:rPr>
              <w:t>Flowmon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Collector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slúži ako centrálne úložisko pre dáta tokov (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NetFlow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, IPFIX,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sFlow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a iné), ktoré sú generované sieťovými zariadeniami alebo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Flowmon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sondami.</w:t>
            </w:r>
          </w:p>
          <w:p w14:paraId="3491ECCC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Umožňuje dlhodobé uchovávanie týchto dát pre analýzu, audit a riešenie problémov.</w:t>
            </w:r>
          </w:p>
          <w:p w14:paraId="5D362267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5B58AE">
              <w:rPr>
                <w:rFonts w:ascii="Times New Roman" w:eastAsiaTheme="minorHAnsi" w:hAnsi="Times New Roman"/>
                <w:b/>
                <w:bCs/>
              </w:rPr>
              <w:t>Analýza sieťovej prevádzky:</w:t>
            </w:r>
          </w:p>
          <w:p w14:paraId="00D2B086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Poskytuje nástroje na analýzu zozbieraných dát, čo umožňuje identifikovať anomálie, bezpečnostné hrozby a problémy s výkonom siete.</w:t>
            </w:r>
          </w:p>
          <w:p w14:paraId="2DCAB5C2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Umožňuje detailné sledovanie sieťovej komunikácie až po aplikačnú vrstvu.</w:t>
            </w:r>
          </w:p>
          <w:p w14:paraId="54ABAC57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5B58AE">
              <w:rPr>
                <w:rFonts w:ascii="Times New Roman" w:eastAsiaTheme="minorHAnsi" w:hAnsi="Times New Roman"/>
                <w:b/>
                <w:bCs/>
              </w:rPr>
              <w:t xml:space="preserve">Vizualizácia a </w:t>
            </w:r>
            <w:proofErr w:type="spellStart"/>
            <w:r w:rsidRPr="005B58AE">
              <w:rPr>
                <w:rFonts w:ascii="Times New Roman" w:eastAsiaTheme="minorHAnsi" w:hAnsi="Times New Roman"/>
                <w:b/>
                <w:bCs/>
              </w:rPr>
              <w:t>reporting</w:t>
            </w:r>
            <w:proofErr w:type="spellEnd"/>
            <w:r w:rsidRPr="005B58AE">
              <w:rPr>
                <w:rFonts w:ascii="Times New Roman" w:eastAsiaTheme="minorHAnsi" w:hAnsi="Times New Roman"/>
                <w:b/>
                <w:bCs/>
              </w:rPr>
              <w:t>:</w:t>
            </w:r>
          </w:p>
          <w:p w14:paraId="58FF7B47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Ponúka grafické rozhranie (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Flowmon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Monitoring Center) pre vizualizáciu dát a generovanie reportov.</w:t>
            </w:r>
          </w:p>
          <w:p w14:paraId="5C294A14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 xml:space="preserve">Umožňuje prispôsobenie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dashboardov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a reportov podľa potrieb používateľa.</w:t>
            </w:r>
          </w:p>
          <w:p w14:paraId="370BC1B3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5B58AE">
              <w:rPr>
                <w:rFonts w:ascii="Times New Roman" w:eastAsiaTheme="minorHAnsi" w:hAnsi="Times New Roman"/>
                <w:b/>
                <w:bCs/>
              </w:rPr>
              <w:t>Aktualizácie softvéru:</w:t>
            </w:r>
          </w:p>
          <w:p w14:paraId="5912C119" w14:textId="77777777" w:rsidR="00256422" w:rsidRPr="005B58AE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Licencia zahŕňa prístup k aktualizáciám softvéru, ktoré prinášajú nové funkcie, vylepšenia a opravy chýb.</w:t>
            </w:r>
          </w:p>
          <w:p w14:paraId="3F86CA74" w14:textId="77777777" w:rsidR="00256422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</w:p>
          <w:p w14:paraId="6D3AC9A0" w14:textId="77777777" w:rsidR="00256422" w:rsidRDefault="00256422" w:rsidP="00BC7ACF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</w:p>
          <w:p w14:paraId="31118CF9" w14:textId="77777777" w:rsidR="00256422" w:rsidRPr="005B58AE" w:rsidRDefault="00256422" w:rsidP="00256422">
            <w:pPr>
              <w:spacing w:before="240"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5B58AE">
              <w:rPr>
                <w:rFonts w:ascii="Times New Roman" w:eastAsiaTheme="minorHAnsi" w:hAnsi="Times New Roman"/>
                <w:b/>
                <w:bCs/>
              </w:rPr>
              <w:lastRenderedPageBreak/>
              <w:t>Technická podpora:</w:t>
            </w:r>
          </w:p>
          <w:p w14:paraId="0959F537" w14:textId="77777777" w:rsidR="00256422" w:rsidRPr="005B58AE" w:rsidRDefault="00256422" w:rsidP="00BC7AC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 xml:space="preserve">Súčasťou licencie je štandardne aj technická podpora od spoločnosti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Progress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Software, ktorá pomáha pri riešení problémov a poskytuje odborné poradenstvo.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00C4" w14:textId="77777777" w:rsidR="00256422" w:rsidRPr="005B58AE" w:rsidRDefault="00256422" w:rsidP="00BC7AC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lastRenderedPageBreak/>
              <w:t>SUB-IFC-12000-VA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74B7A" w14:textId="77777777" w:rsidR="00256422" w:rsidRPr="005B58AE" w:rsidRDefault="00256422" w:rsidP="00BC7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FM-COL-VA-12000-SUB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74CDB" w14:textId="10E2F685" w:rsidR="00256422" w:rsidRPr="005B58AE" w:rsidRDefault="00256422" w:rsidP="00BC7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01.06.202</w:t>
            </w:r>
            <w:r w:rsidR="00AD17CD">
              <w:rPr>
                <w:rFonts w:ascii="Times New Roman" w:hAnsi="Times New Roman"/>
              </w:rPr>
              <w:t>6</w:t>
            </w:r>
          </w:p>
          <w:p w14:paraId="239C369E" w14:textId="77777777" w:rsidR="00256422" w:rsidRPr="005B58AE" w:rsidRDefault="00256422" w:rsidP="00BC7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-</w:t>
            </w:r>
          </w:p>
          <w:p w14:paraId="71BC4273" w14:textId="41F5586B" w:rsidR="00256422" w:rsidRPr="00AD17CD" w:rsidRDefault="00256422" w:rsidP="00AD17C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8AE">
              <w:rPr>
                <w:rFonts w:ascii="Times New Roman" w:hAnsi="Times New Roman"/>
              </w:rPr>
              <w:t>31.05.202</w:t>
            </w:r>
            <w:r w:rsidR="00AD17CD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E232C" w14:textId="77777777" w:rsidR="00256422" w:rsidRPr="005B58AE" w:rsidRDefault="00256422" w:rsidP="00BC7AC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3050" w14:textId="77777777" w:rsidR="00256422" w:rsidRPr="005B58AE" w:rsidRDefault="00256422" w:rsidP="00BC7AC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6B65" w14:textId="77777777" w:rsidR="00256422" w:rsidRPr="005B58AE" w:rsidRDefault="00256422" w:rsidP="00BC7AC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56422" w:rsidRPr="00A1399C" w14:paraId="11C0B5D7" w14:textId="77777777" w:rsidTr="00BC7ACF">
        <w:trPr>
          <w:trHeight w:val="390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B18F3BD" w14:textId="77777777" w:rsidR="00256422" w:rsidRPr="005B58AE" w:rsidRDefault="00256422" w:rsidP="00BC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bCs/>
                <w:lang w:eastAsia="sk-SK"/>
              </w:rPr>
              <w:t>Cena za celý predmet zákazky bez DPH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4B7CA3" w14:textId="77777777" w:rsidR="00256422" w:rsidRPr="005B58AE" w:rsidRDefault="00256422" w:rsidP="00BC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4253" w:type="dxa"/>
            <w:gridSpan w:val="4"/>
            <w:tcBorders>
              <w:left w:val="single" w:sz="4" w:space="0" w:color="auto"/>
            </w:tcBorders>
          </w:tcPr>
          <w:p w14:paraId="55F97765" w14:textId="77777777" w:rsidR="00256422" w:rsidRPr="005B58AE" w:rsidRDefault="00256422" w:rsidP="00BC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2618" w:type="dxa"/>
            <w:gridSpan w:val="2"/>
            <w:tcBorders>
              <w:left w:val="nil"/>
            </w:tcBorders>
            <w:vAlign w:val="center"/>
          </w:tcPr>
          <w:p w14:paraId="5E663308" w14:textId="77777777" w:rsidR="00256422" w:rsidRPr="00D974DF" w:rsidRDefault="00256422" w:rsidP="00BC7ACF">
            <w:p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256422">
      <w:headerReference w:type="first" r:id="rId11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B6A1" w14:textId="77777777" w:rsidR="007C23E9" w:rsidRDefault="007C23E9">
      <w:pPr>
        <w:spacing w:after="0" w:line="240" w:lineRule="auto"/>
      </w:pPr>
      <w:r>
        <w:separator/>
      </w:r>
    </w:p>
  </w:endnote>
  <w:endnote w:type="continuationSeparator" w:id="0">
    <w:p w14:paraId="70A749BD" w14:textId="77777777" w:rsidR="007C23E9" w:rsidRDefault="007C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1FA7" w14:textId="77777777" w:rsidR="007C23E9" w:rsidRDefault="007C23E9">
      <w:pPr>
        <w:spacing w:after="0" w:line="240" w:lineRule="auto"/>
      </w:pPr>
      <w:r>
        <w:separator/>
      </w:r>
    </w:p>
  </w:footnote>
  <w:footnote w:type="continuationSeparator" w:id="0">
    <w:p w14:paraId="3D91F241" w14:textId="77777777" w:rsidR="007C23E9" w:rsidRDefault="007C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  <w:p w14:paraId="725DEAB3" w14:textId="1E93C045" w:rsidR="00392AE7" w:rsidRPr="00392AE7" w:rsidRDefault="00392AE7" w:rsidP="00392AE7">
    <w:pPr>
      <w:pStyle w:val="Hlavika"/>
      <w:jc w:val="center"/>
      <w:rPr>
        <w:rFonts w:ascii="Times New Roman" w:hAnsi="Times New Roman"/>
        <w:b/>
        <w:bCs/>
        <w:sz w:val="28"/>
        <w:szCs w:val="28"/>
        <w:lang w:val="sk-SK"/>
      </w:rPr>
    </w:pPr>
    <w:r w:rsidRPr="00392AE7">
      <w:rPr>
        <w:rFonts w:ascii="Times New Roman" w:hAnsi="Times New Roman"/>
        <w:b/>
        <w:bCs/>
        <w:sz w:val="28"/>
        <w:szCs w:val="28"/>
        <w:lang w:val="sk-SK"/>
      </w:rPr>
      <w:t>Technická 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0"/>
  </w:num>
  <w:num w:numId="2" w16cid:durableId="228421152">
    <w:abstractNumId w:val="47"/>
  </w:num>
  <w:num w:numId="3" w16cid:durableId="1308513335">
    <w:abstractNumId w:val="4"/>
  </w:num>
  <w:num w:numId="4" w16cid:durableId="1155414123">
    <w:abstractNumId w:val="38"/>
  </w:num>
  <w:num w:numId="5" w16cid:durableId="1106149302">
    <w:abstractNumId w:val="23"/>
  </w:num>
  <w:num w:numId="6" w16cid:durableId="1044603061">
    <w:abstractNumId w:val="40"/>
  </w:num>
  <w:num w:numId="7" w16cid:durableId="2075817131">
    <w:abstractNumId w:val="7"/>
  </w:num>
  <w:num w:numId="8" w16cid:durableId="2044940930">
    <w:abstractNumId w:val="44"/>
  </w:num>
  <w:num w:numId="9" w16cid:durableId="135730520">
    <w:abstractNumId w:val="17"/>
  </w:num>
  <w:num w:numId="10" w16cid:durableId="1892425285">
    <w:abstractNumId w:val="39"/>
  </w:num>
  <w:num w:numId="11" w16cid:durableId="2055808719">
    <w:abstractNumId w:val="9"/>
  </w:num>
  <w:num w:numId="12" w16cid:durableId="1709841764">
    <w:abstractNumId w:val="27"/>
  </w:num>
  <w:num w:numId="13" w16cid:durableId="1509758015">
    <w:abstractNumId w:val="37"/>
  </w:num>
  <w:num w:numId="14" w16cid:durableId="1041057973">
    <w:abstractNumId w:val="21"/>
  </w:num>
  <w:num w:numId="15" w16cid:durableId="2063475989">
    <w:abstractNumId w:val="46"/>
  </w:num>
  <w:num w:numId="16" w16cid:durableId="515119526">
    <w:abstractNumId w:val="31"/>
  </w:num>
  <w:num w:numId="17" w16cid:durableId="132410660">
    <w:abstractNumId w:val="26"/>
  </w:num>
  <w:num w:numId="18" w16cid:durableId="191964206">
    <w:abstractNumId w:val="8"/>
  </w:num>
  <w:num w:numId="19" w16cid:durableId="923799572">
    <w:abstractNumId w:val="18"/>
  </w:num>
  <w:num w:numId="20" w16cid:durableId="665211239">
    <w:abstractNumId w:val="5"/>
  </w:num>
  <w:num w:numId="21" w16cid:durableId="784348688">
    <w:abstractNumId w:val="33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6"/>
  </w:num>
  <w:num w:numId="25" w16cid:durableId="847717029">
    <w:abstractNumId w:val="10"/>
  </w:num>
  <w:num w:numId="26" w16cid:durableId="853231777">
    <w:abstractNumId w:val="45"/>
  </w:num>
  <w:num w:numId="27" w16cid:durableId="1240404221">
    <w:abstractNumId w:val="34"/>
  </w:num>
  <w:num w:numId="28" w16cid:durableId="883366988">
    <w:abstractNumId w:val="28"/>
  </w:num>
  <w:num w:numId="29" w16cid:durableId="1549492987">
    <w:abstractNumId w:val="35"/>
  </w:num>
  <w:num w:numId="30" w16cid:durableId="1679769528">
    <w:abstractNumId w:val="32"/>
  </w:num>
  <w:num w:numId="31" w16cid:durableId="1906799681">
    <w:abstractNumId w:val="30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42"/>
  </w:num>
  <w:num w:numId="35" w16cid:durableId="834419892">
    <w:abstractNumId w:val="22"/>
  </w:num>
  <w:num w:numId="36" w16cid:durableId="2140220296">
    <w:abstractNumId w:val="13"/>
  </w:num>
  <w:num w:numId="37" w16cid:durableId="1241986788">
    <w:abstractNumId w:val="25"/>
  </w:num>
  <w:num w:numId="38" w16cid:durableId="1933010734">
    <w:abstractNumId w:val="41"/>
  </w:num>
  <w:num w:numId="39" w16cid:durableId="1335763352">
    <w:abstractNumId w:val="15"/>
  </w:num>
  <w:num w:numId="40" w16cid:durableId="993723531">
    <w:abstractNumId w:val="19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4"/>
  </w:num>
  <w:num w:numId="44" w16cid:durableId="1442529257">
    <w:abstractNumId w:val="24"/>
  </w:num>
  <w:num w:numId="45" w16cid:durableId="850685413">
    <w:abstractNumId w:val="43"/>
  </w:num>
  <w:num w:numId="46" w16cid:durableId="219563750">
    <w:abstractNumId w:val="16"/>
  </w:num>
  <w:num w:numId="47" w16cid:durableId="924917540">
    <w:abstractNumId w:val="29"/>
  </w:num>
  <w:num w:numId="48" w16cid:durableId="201845848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06D5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C91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C69A8"/>
    <w:rsid w:val="000D06C2"/>
    <w:rsid w:val="000D2841"/>
    <w:rsid w:val="000D40B3"/>
    <w:rsid w:val="000D43D2"/>
    <w:rsid w:val="000D4F95"/>
    <w:rsid w:val="000D787E"/>
    <w:rsid w:val="000E2EF1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4767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37776"/>
    <w:rsid w:val="00240D15"/>
    <w:rsid w:val="00240D2A"/>
    <w:rsid w:val="00243233"/>
    <w:rsid w:val="0024537B"/>
    <w:rsid w:val="00256422"/>
    <w:rsid w:val="002569DD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12A3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71C59"/>
    <w:rsid w:val="00383F89"/>
    <w:rsid w:val="003876F0"/>
    <w:rsid w:val="00392AE7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970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0FF6"/>
    <w:rsid w:val="00472CB8"/>
    <w:rsid w:val="00475DC4"/>
    <w:rsid w:val="0047668E"/>
    <w:rsid w:val="00477818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1715A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3AB4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2E44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23E9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325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2180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518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261"/>
    <w:rsid w:val="00A12D22"/>
    <w:rsid w:val="00A14522"/>
    <w:rsid w:val="00A14784"/>
    <w:rsid w:val="00A163A8"/>
    <w:rsid w:val="00A16499"/>
    <w:rsid w:val="00A170EC"/>
    <w:rsid w:val="00A17CAA"/>
    <w:rsid w:val="00A24059"/>
    <w:rsid w:val="00A240F1"/>
    <w:rsid w:val="00A26418"/>
    <w:rsid w:val="00A32C48"/>
    <w:rsid w:val="00A33111"/>
    <w:rsid w:val="00A356EC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1DD4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17CD"/>
    <w:rsid w:val="00AD2424"/>
    <w:rsid w:val="00AD68C6"/>
    <w:rsid w:val="00AE493E"/>
    <w:rsid w:val="00AE5941"/>
    <w:rsid w:val="00AE63E6"/>
    <w:rsid w:val="00AE6629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46F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1AFC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34C90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D45D3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0568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7FA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9BC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4190</Words>
  <Characters>23886</Characters>
  <Application>Microsoft Office Word</Application>
  <DocSecurity>4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2026-04-22T15:21:00Z</dcterms:created>
  <dcterms:modified xsi:type="dcterms:W3CDTF">2026-04-22T15:21:00Z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