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1B331677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D07106" w:rsidRPr="00D07106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Obnova licencií umožňujúcich  použitie autentifikačného riešenia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46729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</w:t>
      </w:r>
      <w:r w:rsidR="00D07106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XSpec="center" w:tblpY="1006"/>
        <w:tblOverlap w:val="never"/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850"/>
        <w:gridCol w:w="852"/>
        <w:gridCol w:w="1702"/>
        <w:gridCol w:w="1702"/>
        <w:gridCol w:w="1703"/>
      </w:tblGrid>
      <w:tr w:rsidR="00D07106" w:rsidRPr="00A1399C" w14:paraId="53371B01" w14:textId="77777777" w:rsidTr="00D745A7">
        <w:trPr>
          <w:trHeight w:val="1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BEDF0" w14:textId="77777777" w:rsidR="00D07106" w:rsidRPr="00A1399C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3F231" w14:textId="77777777" w:rsidR="00D07106" w:rsidRPr="00A1399C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F321E" w14:textId="77777777" w:rsidR="00D07106" w:rsidRPr="00A1399C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28D87" w14:textId="77777777" w:rsidR="00D07106" w:rsidRPr="00A1399C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C4BB5" w14:textId="77777777" w:rsidR="00D07106" w:rsidRPr="008C0B4B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Počet užívateľov, pre ktorých je potrebné zabezpečiť licencie/ podporu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914C87" w14:textId="77777777" w:rsidR="00D07106" w:rsidRPr="003148DB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18E91" w14:textId="77777777" w:rsidR="00D07106" w:rsidRPr="00A1399C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Celková cena za položku (súčin jedn. ceny za položku a počtu užívateľov) v EUR bez DPH</w:t>
            </w:r>
          </w:p>
        </w:tc>
      </w:tr>
      <w:tr w:rsidR="00D07106" w:rsidRPr="0040495B" w14:paraId="3C9303C1" w14:textId="77777777" w:rsidTr="00D745A7">
        <w:trPr>
          <w:trHeight w:val="21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3D666" w14:textId="77777777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ACC8" w14:textId="24442858" w:rsidR="007224CE" w:rsidRPr="0040495B" w:rsidRDefault="00D07106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Užívateľská licencia umožňujúca použitie on-premise autentifikačného riešenia výrobcu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Thales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 (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SafeNet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Authentication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Service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Private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Cloud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Edition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(SAS PCE)). </w:t>
            </w:r>
            <w:r w:rsidR="007224CE" w:rsidRPr="0040495B">
              <w:rPr>
                <w:rFonts w:ascii="Times New Roman" w:eastAsia="Times New Roman" w:hAnsi="Times New Roman"/>
                <w:bCs/>
                <w:lang w:eastAsia="sk-SK"/>
              </w:rPr>
              <w:t>Licencia zahŕňa:</w:t>
            </w:r>
          </w:p>
          <w:p w14:paraId="3AA72908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1. Rozsah licencovania</w:t>
            </w:r>
          </w:p>
          <w:p w14:paraId="39DDF079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Používateľská licencia (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subscription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alebo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perpetual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, podľa nastavenia) umožňujúca plnohodnotné využívanie on-premise autentifikačného riešenia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Thales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SafeNet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Authentication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Service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Private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Cloud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Edition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(SAS PCE).</w:t>
            </w:r>
          </w:p>
          <w:p w14:paraId="125F2043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Inštalácia: Licencia oprávňuje k inštalácii riešenia vo vlastnej infraštruktúre (on-premise) alebo v privátnom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cloude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verejného obstarávateľa.</w:t>
            </w:r>
          </w:p>
          <w:p w14:paraId="666556B2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Funkcionalita: Licencia zahŕňa prístup ku všetkým štandardným funkciám systému, vrátane správy používateľov, správy autentifikačných metód (tokenov), integračných rozhraní (API, RADIUS, SAML, Agentov) a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reportovacích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nástrojov.</w:t>
            </w:r>
          </w:p>
          <w:p w14:paraId="58BBD8E2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2. Aktualizácie a údržba softvéru (Software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Maintenance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)</w:t>
            </w:r>
          </w:p>
          <w:p w14:paraId="397C375C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lastRenderedPageBreak/>
              <w:t xml:space="preserve">Bezplatný upgrade: Právo na bezplatné stiahnutie a inštaláciu všetkých nových verzií softvéru (Major a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Minor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releases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) vydaných výrobcom počas trvania zmluvy.</w:t>
            </w:r>
          </w:p>
          <w:p w14:paraId="6D64956B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Bezpečnostné záplaty: Prístup k opravným balíčkom (Service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Packs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), opravám chýb (Bug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fixes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) a bezpečnostným aktualizáciám (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Hotfixes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) bezodkladne po ich uvoľnení výrobcom.</w:t>
            </w:r>
          </w:p>
          <w:p w14:paraId="46C51146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Kompatibilita: Zabezpečenie kontinuálnej kompatibility s aktuálnymi operačnými systémami a integračnými štandardmi podporovanými výrobcom.</w:t>
            </w:r>
          </w:p>
          <w:p w14:paraId="11347762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3. Štandardná technická podpora (Standard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Support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)</w:t>
            </w:r>
          </w:p>
          <w:p w14:paraId="24D4B2FC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Technická asistencia: Poskytovanie technických konzultácií a riešenie incidentov spojených s prevádzkou a konfiguráciou softvéru.</w:t>
            </w:r>
          </w:p>
          <w:p w14:paraId="0EE332DC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Dostupnosť podpory: Minimálne v pracovné dni v čase od 09:00 do 17:00 (režim 8x5).</w:t>
            </w:r>
          </w:p>
          <w:p w14:paraId="3D22D613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Komunikačné kanály: Prístup k oficiálnemu zákazníckemu portálu výrobcu, e-mailová komunikácia a telefonická podpora.</w:t>
            </w:r>
          </w:p>
          <w:p w14:paraId="7C7B5A8F" w14:textId="737A61DA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Reakčné časy (SLA): dodržiavať reakčné časy stanovené výrobcom (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Thales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) podľa priority nahláseného incidentu (Kritická, Vysoká, Stredná, Nízka).</w:t>
            </w:r>
          </w:p>
          <w:p w14:paraId="234E20FA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4. Prístup k informačným zdrojom</w:t>
            </w:r>
          </w:p>
          <w:p w14:paraId="0753E892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Znalostná báza: Neobmedzený prístup k online znalostnej báze (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Knowledge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Base) výrobcu, technickej dokumentácii, inštalačným príručkám a návodom na osvedčené postupy (Best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Practices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).</w:t>
            </w:r>
          </w:p>
          <w:p w14:paraId="390DE309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Samoobslužný portál: Prístup k webovému portálu pre správu licencií, sťahovanie softvéru a sledovanie stavu nahlásených incidentov.</w:t>
            </w:r>
          </w:p>
          <w:p w14:paraId="64CB9A5F" w14:textId="77777777" w:rsidR="007224CE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5. Podpora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autentifikátorov</w:t>
            </w:r>
            <w:proofErr w:type="spellEnd"/>
          </w:p>
          <w:p w14:paraId="0814C327" w14:textId="71EE2100" w:rsidR="00D07106" w:rsidRPr="0040495B" w:rsidRDefault="007224CE" w:rsidP="00722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lastRenderedPageBreak/>
              <w:t xml:space="preserve">Životný cyklus tokenov: Podpora pre správu a aktiváciu širokého spektra autentifikačných metód (softvérové tokeny pre mobilné zariadenia, SMS/E-mail OTP, </w:t>
            </w:r>
            <w:proofErr w:type="spellStart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>Push</w:t>
            </w:r>
            <w:proofErr w:type="spellEnd"/>
            <w:r w:rsidRPr="0040495B">
              <w:rPr>
                <w:rFonts w:ascii="Times New Roman" w:eastAsia="Times New Roman" w:hAnsi="Times New Roman"/>
                <w:bCs/>
                <w:lang w:eastAsia="sk-SK"/>
              </w:rPr>
              <w:t xml:space="preserve"> notifikácie, hardvérové OTP tokeny).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5635" w14:textId="77777777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lang w:eastAsia="sk-SK"/>
              </w:rPr>
              <w:lastRenderedPageBreak/>
              <w:t>THALES - 955-000151-001-003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FB15" w14:textId="03852631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40495B">
              <w:rPr>
                <w:rFonts w:ascii="Times New Roman" w:hAnsi="Times New Roman"/>
                <w:lang w:eastAsia="zh-CN"/>
              </w:rPr>
              <w:t>22.06.2026</w:t>
            </w:r>
          </w:p>
          <w:p w14:paraId="49AF2793" w14:textId="77777777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40495B">
              <w:rPr>
                <w:rFonts w:ascii="Times New Roman" w:hAnsi="Times New Roman"/>
                <w:lang w:eastAsia="zh-CN"/>
              </w:rPr>
              <w:t>-</w:t>
            </w:r>
          </w:p>
          <w:p w14:paraId="5F8E0F29" w14:textId="562A03FF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40495B">
              <w:rPr>
                <w:rFonts w:ascii="Times New Roman" w:hAnsi="Times New Roman"/>
                <w:lang w:eastAsia="zh-CN"/>
              </w:rPr>
              <w:t>21.06.2027</w:t>
            </w:r>
          </w:p>
          <w:p w14:paraId="67E89326" w14:textId="77777777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114A" w14:textId="77777777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lang w:eastAsia="sk-SK"/>
              </w:rPr>
              <w:t>380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20B8" w14:textId="77777777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0EB5" w14:textId="77777777" w:rsidR="00D07106" w:rsidRPr="0040495B" w:rsidRDefault="00D07106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07106" w:rsidRPr="0040495B" w14:paraId="5A69C99B" w14:textId="77777777" w:rsidTr="00D745A7">
        <w:trPr>
          <w:gridAfter w:val="4"/>
          <w:wAfter w:w="5959" w:type="dxa"/>
          <w:trHeight w:val="39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F03E052" w14:textId="77777777" w:rsidR="00D07106" w:rsidRPr="0040495B" w:rsidRDefault="00D07106" w:rsidP="00D745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40495B">
              <w:rPr>
                <w:rFonts w:ascii="Times New Roman" w:eastAsia="Times New Roman" w:hAnsi="Times New Roman"/>
                <w:b/>
                <w:bCs/>
                <w:lang w:eastAsia="sk-SK"/>
              </w:rPr>
              <w:lastRenderedPageBreak/>
              <w:t>Cena za celý predmet zákazky bez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C1A87F" w14:textId="77777777" w:rsidR="00D07106" w:rsidRPr="0040495B" w:rsidRDefault="00D07106" w:rsidP="00D745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</w:tr>
    </w:tbl>
    <w:p w14:paraId="252C4DF1" w14:textId="5805C764" w:rsidR="00410E6E" w:rsidRPr="0040495B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RPr="0040495B" w:rsidSect="00256422">
      <w:headerReference w:type="first" r:id="rId11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9956" w14:textId="77777777" w:rsidR="00857561" w:rsidRDefault="00857561">
      <w:pPr>
        <w:spacing w:after="0" w:line="240" w:lineRule="auto"/>
      </w:pPr>
      <w:r>
        <w:separator/>
      </w:r>
    </w:p>
  </w:endnote>
  <w:endnote w:type="continuationSeparator" w:id="0">
    <w:p w14:paraId="49280ADF" w14:textId="77777777" w:rsidR="00857561" w:rsidRDefault="0085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144D" w14:textId="77777777" w:rsidR="00857561" w:rsidRDefault="00857561">
      <w:pPr>
        <w:spacing w:after="0" w:line="240" w:lineRule="auto"/>
      </w:pPr>
      <w:r>
        <w:separator/>
      </w:r>
    </w:p>
  </w:footnote>
  <w:footnote w:type="continuationSeparator" w:id="0">
    <w:p w14:paraId="08626E30" w14:textId="77777777" w:rsidR="00857561" w:rsidRDefault="00857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2"/>
  </w:num>
  <w:num w:numId="2" w16cid:durableId="228421152">
    <w:abstractNumId w:val="49"/>
  </w:num>
  <w:num w:numId="3" w16cid:durableId="1308513335">
    <w:abstractNumId w:val="5"/>
  </w:num>
  <w:num w:numId="4" w16cid:durableId="1155414123">
    <w:abstractNumId w:val="40"/>
  </w:num>
  <w:num w:numId="5" w16cid:durableId="1106149302">
    <w:abstractNumId w:val="25"/>
  </w:num>
  <w:num w:numId="6" w16cid:durableId="1044603061">
    <w:abstractNumId w:val="42"/>
  </w:num>
  <w:num w:numId="7" w16cid:durableId="2075817131">
    <w:abstractNumId w:val="8"/>
  </w:num>
  <w:num w:numId="8" w16cid:durableId="2044940930">
    <w:abstractNumId w:val="46"/>
  </w:num>
  <w:num w:numId="9" w16cid:durableId="135730520">
    <w:abstractNumId w:val="19"/>
  </w:num>
  <w:num w:numId="10" w16cid:durableId="1892425285">
    <w:abstractNumId w:val="41"/>
  </w:num>
  <w:num w:numId="11" w16cid:durableId="2055808719">
    <w:abstractNumId w:val="10"/>
  </w:num>
  <w:num w:numId="12" w16cid:durableId="1709841764">
    <w:abstractNumId w:val="29"/>
  </w:num>
  <w:num w:numId="13" w16cid:durableId="1509758015">
    <w:abstractNumId w:val="39"/>
  </w:num>
  <w:num w:numId="14" w16cid:durableId="1041057973">
    <w:abstractNumId w:val="23"/>
  </w:num>
  <w:num w:numId="15" w16cid:durableId="2063475989">
    <w:abstractNumId w:val="48"/>
  </w:num>
  <w:num w:numId="16" w16cid:durableId="515119526">
    <w:abstractNumId w:val="33"/>
  </w:num>
  <w:num w:numId="17" w16cid:durableId="132410660">
    <w:abstractNumId w:val="28"/>
  </w:num>
  <w:num w:numId="18" w16cid:durableId="191964206">
    <w:abstractNumId w:val="9"/>
  </w:num>
  <w:num w:numId="19" w16cid:durableId="923799572">
    <w:abstractNumId w:val="20"/>
  </w:num>
  <w:num w:numId="20" w16cid:durableId="665211239">
    <w:abstractNumId w:val="6"/>
  </w:num>
  <w:num w:numId="21" w16cid:durableId="784348688">
    <w:abstractNumId w:val="35"/>
  </w:num>
  <w:num w:numId="22" w16cid:durableId="1195655354">
    <w:abstractNumId w:val="3"/>
  </w:num>
  <w:num w:numId="23" w16cid:durableId="1797867602">
    <w:abstractNumId w:val="4"/>
  </w:num>
  <w:num w:numId="24" w16cid:durableId="23597231">
    <w:abstractNumId w:val="38"/>
  </w:num>
  <w:num w:numId="25" w16cid:durableId="847717029">
    <w:abstractNumId w:val="11"/>
  </w:num>
  <w:num w:numId="26" w16cid:durableId="853231777">
    <w:abstractNumId w:val="47"/>
  </w:num>
  <w:num w:numId="27" w16cid:durableId="1240404221">
    <w:abstractNumId w:val="36"/>
  </w:num>
  <w:num w:numId="28" w16cid:durableId="883366988">
    <w:abstractNumId w:val="30"/>
  </w:num>
  <w:num w:numId="29" w16cid:durableId="1549492987">
    <w:abstractNumId w:val="37"/>
  </w:num>
  <w:num w:numId="30" w16cid:durableId="1679769528">
    <w:abstractNumId w:val="34"/>
  </w:num>
  <w:num w:numId="31" w16cid:durableId="1906799681">
    <w:abstractNumId w:val="32"/>
  </w:num>
  <w:num w:numId="32" w16cid:durableId="1142773845">
    <w:abstractNumId w:val="13"/>
  </w:num>
  <w:num w:numId="33" w16cid:durableId="87234614">
    <w:abstractNumId w:val="0"/>
  </w:num>
  <w:num w:numId="34" w16cid:durableId="1597205995">
    <w:abstractNumId w:val="44"/>
  </w:num>
  <w:num w:numId="35" w16cid:durableId="834419892">
    <w:abstractNumId w:val="24"/>
  </w:num>
  <w:num w:numId="36" w16cid:durableId="2140220296">
    <w:abstractNumId w:val="15"/>
  </w:num>
  <w:num w:numId="37" w16cid:durableId="1241986788">
    <w:abstractNumId w:val="27"/>
  </w:num>
  <w:num w:numId="38" w16cid:durableId="1933010734">
    <w:abstractNumId w:val="43"/>
  </w:num>
  <w:num w:numId="39" w16cid:durableId="1335763352">
    <w:abstractNumId w:val="17"/>
  </w:num>
  <w:num w:numId="40" w16cid:durableId="993723531">
    <w:abstractNumId w:val="21"/>
  </w:num>
  <w:num w:numId="41" w16cid:durableId="2078934608">
    <w:abstractNumId w:val="1"/>
  </w:num>
  <w:num w:numId="42" w16cid:durableId="1507557159">
    <w:abstractNumId w:val="7"/>
  </w:num>
  <w:num w:numId="43" w16cid:durableId="39480566">
    <w:abstractNumId w:val="16"/>
  </w:num>
  <w:num w:numId="44" w16cid:durableId="1442529257">
    <w:abstractNumId w:val="26"/>
  </w:num>
  <w:num w:numId="45" w16cid:durableId="850685413">
    <w:abstractNumId w:val="45"/>
  </w:num>
  <w:num w:numId="46" w16cid:durableId="219563750">
    <w:abstractNumId w:val="18"/>
  </w:num>
  <w:num w:numId="47" w16cid:durableId="924917540">
    <w:abstractNumId w:val="31"/>
  </w:num>
  <w:num w:numId="48" w16cid:durableId="2018458482">
    <w:abstractNumId w:val="14"/>
  </w:num>
  <w:num w:numId="49" w16cid:durableId="204295042">
    <w:abstractNumId w:val="2"/>
  </w:num>
  <w:num w:numId="50" w16cid:durableId="132285391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5CBB"/>
    <w:rsid w:val="0003604C"/>
    <w:rsid w:val="000415E4"/>
    <w:rsid w:val="00043B19"/>
    <w:rsid w:val="00043EB2"/>
    <w:rsid w:val="000501F3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87D9F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56422"/>
    <w:rsid w:val="002569DD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6787F"/>
    <w:rsid w:val="00371C59"/>
    <w:rsid w:val="00383F89"/>
    <w:rsid w:val="00387234"/>
    <w:rsid w:val="003876F0"/>
    <w:rsid w:val="00392AE7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495B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290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257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96F3B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4CE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2E3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20C6"/>
    <w:rsid w:val="00773D66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4CB3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4C60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561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0564D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1426"/>
    <w:rsid w:val="00A12261"/>
    <w:rsid w:val="00A12D22"/>
    <w:rsid w:val="00A14522"/>
    <w:rsid w:val="00A14784"/>
    <w:rsid w:val="00A163A8"/>
    <w:rsid w:val="00A16499"/>
    <w:rsid w:val="00A170EC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3E6B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1DD4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17CD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4CBE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07106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34C90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2CB1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7FA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2026-04-27T14:20:00Z</dcterms:created>
  <dcterms:modified xsi:type="dcterms:W3CDTF">2026-05-19T07:25:00Z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