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73FAAC51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>licenci</w:t>
      </w:r>
      <w:r w:rsidR="00341B1E">
        <w:rPr>
          <w:rFonts w:ascii="Times New Roman" w:hAnsi="Times New Roman"/>
          <w:b/>
          <w:sz w:val="36"/>
          <w:szCs w:val="36"/>
        </w:rPr>
        <w:t>í a 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2F36038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DA2132" w:rsidRPr="00DA2132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Obnova licencií a podpory pre firewally Palo Alto 3220 a Palo Alto 220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4672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</w:t>
      </w:r>
      <w:r w:rsidR="00DA2132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4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30F9E56C" w:rsidR="001538A2" w:rsidRDefault="001002CD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dodania (Tovar) sú licencie </w:t>
      </w:r>
      <w:r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Pr="004C0114">
        <w:rPr>
          <w:rFonts w:ascii="Times New Roman" w:hAnsi="Times New Roman"/>
          <w:sz w:val="24"/>
          <w:szCs w:val="24"/>
        </w:rPr>
        <w:t>uvedené v Prílohe (ďalej len „</w:t>
      </w:r>
      <w:r>
        <w:rPr>
          <w:rFonts w:ascii="Times New Roman" w:hAnsi="Times New Roman"/>
          <w:sz w:val="24"/>
          <w:szCs w:val="24"/>
        </w:rPr>
        <w:t>Licencie a podpora</w:t>
      </w:r>
      <w:r w:rsidRPr="004C0114">
        <w:rPr>
          <w:rFonts w:ascii="Times New Roman" w:hAnsi="Times New Roman"/>
          <w:sz w:val="24"/>
          <w:szCs w:val="24"/>
        </w:rPr>
        <w:t>“), ktoré môže Objednávateľ užívať na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>
        <w:rPr>
          <w:rFonts w:ascii="Times New Roman" w:hAnsi="Times New Roman"/>
          <w:sz w:val="24"/>
          <w:szCs w:val="24"/>
        </w:rPr>
        <w:br/>
      </w:r>
      <w:r w:rsidRPr="004C0114">
        <w:rPr>
          <w:rFonts w:ascii="Times New Roman" w:hAnsi="Times New Roman"/>
          <w:sz w:val="24"/>
          <w:szCs w:val="24"/>
        </w:rPr>
        <w:t>Slovenskej republiky, na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ktorých sa nachádzajú systémy, ku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ktorým sa</w:t>
      </w:r>
      <w:r>
        <w:rPr>
          <w:rFonts w:ascii="Times New Roman" w:hAnsi="Times New Roman"/>
          <w:sz w:val="24"/>
          <w:szCs w:val="24"/>
        </w:rPr>
        <w:t xml:space="preserve"> Licencie a  p</w:t>
      </w:r>
      <w:r w:rsidRPr="004C0114">
        <w:rPr>
          <w:rFonts w:ascii="Times New Roman" w:hAnsi="Times New Roman"/>
          <w:sz w:val="24"/>
          <w:szCs w:val="24"/>
        </w:rPr>
        <w:t>odpora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poskytuj</w:t>
      </w:r>
      <w:r>
        <w:rPr>
          <w:rFonts w:ascii="Times New Roman" w:hAnsi="Times New Roman"/>
          <w:sz w:val="24"/>
          <w:szCs w:val="24"/>
        </w:rPr>
        <w:t>ú</w:t>
      </w:r>
      <w:r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4898EDBF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 xml:space="preserve">Licencií </w:t>
      </w:r>
      <w:r w:rsidR="001002CD">
        <w:rPr>
          <w:rFonts w:ascii="Times New Roman" w:hAnsi="Times New Roman"/>
          <w:sz w:val="24"/>
          <w:szCs w:val="24"/>
        </w:rPr>
        <w:t xml:space="preserve">a podpory </w:t>
      </w:r>
      <w:r w:rsidR="00EA2E00">
        <w:rPr>
          <w:rFonts w:ascii="Times New Roman" w:hAnsi="Times New Roman"/>
          <w:sz w:val="24"/>
          <w:szCs w:val="24"/>
        </w:rPr>
        <w:t>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71957851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 xml:space="preserve">Licencie </w:t>
      </w:r>
      <w:r w:rsidR="001002CD">
        <w:rPr>
          <w:rFonts w:ascii="Times New Roman" w:hAnsi="Times New Roman"/>
          <w:sz w:val="24"/>
          <w:szCs w:val="24"/>
        </w:rPr>
        <w:t xml:space="preserve">a podporu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 xml:space="preserve">Licencie </w:t>
      </w:r>
      <w:r w:rsidR="001002CD">
        <w:rPr>
          <w:rFonts w:ascii="Times New Roman" w:hAnsi="Times New Roman"/>
          <w:sz w:val="24"/>
          <w:szCs w:val="24"/>
        </w:rPr>
        <w:t xml:space="preserve">a podpora </w:t>
      </w:r>
      <w:r w:rsidR="00E7671D" w:rsidRPr="00096247">
        <w:rPr>
          <w:rFonts w:ascii="Times New Roman" w:hAnsi="Times New Roman"/>
          <w:sz w:val="24"/>
          <w:szCs w:val="24"/>
        </w:rPr>
        <w:t>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FD1CBA">
        <w:rPr>
          <w:rFonts w:ascii="Times New Roman" w:hAnsi="Times New Roman"/>
          <w:sz w:val="24"/>
          <w:szCs w:val="24"/>
        </w:rPr>
        <w:t>ým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</w:t>
      </w:r>
      <w:r w:rsidR="00FD1CBA">
        <w:rPr>
          <w:rFonts w:ascii="Times New Roman" w:hAnsi="Times New Roman"/>
          <w:sz w:val="24"/>
          <w:szCs w:val="24"/>
        </w:rPr>
        <w:t>ám</w:t>
      </w:r>
      <w:r w:rsidR="00586F6D">
        <w:rPr>
          <w:rFonts w:ascii="Times New Roman" w:hAnsi="Times New Roman"/>
          <w:sz w:val="24"/>
          <w:szCs w:val="24"/>
        </w:rPr>
        <w:t xml:space="preserve"> </w:t>
      </w:r>
      <w:r w:rsidR="001002CD">
        <w:rPr>
          <w:rFonts w:ascii="Times New Roman" w:hAnsi="Times New Roman"/>
          <w:sz w:val="24"/>
          <w:szCs w:val="24"/>
        </w:rPr>
        <w:t xml:space="preserve">a 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</w:t>
      </w:r>
      <w:r w:rsidR="001002CD">
        <w:rPr>
          <w:rFonts w:ascii="Times New Roman" w:hAnsi="Times New Roman"/>
          <w:sz w:val="24"/>
          <w:szCs w:val="24"/>
        </w:rPr>
        <w:t>a 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074B983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1002CD">
        <w:rPr>
          <w:rFonts w:ascii="Times New Roman" w:hAnsi="Times New Roman"/>
          <w:sz w:val="24"/>
          <w:szCs w:val="24"/>
        </w:rPr>
        <w:t> </w:t>
      </w:r>
      <w:r w:rsidR="00586F6D">
        <w:rPr>
          <w:rFonts w:ascii="Times New Roman" w:hAnsi="Times New Roman"/>
          <w:sz w:val="24"/>
          <w:szCs w:val="24"/>
        </w:rPr>
        <w:t>Licenci</w:t>
      </w:r>
      <w:r w:rsidR="00FD1CBA">
        <w:rPr>
          <w:rFonts w:ascii="Times New Roman" w:hAnsi="Times New Roman"/>
          <w:sz w:val="24"/>
          <w:szCs w:val="24"/>
        </w:rPr>
        <w:t>ám</w:t>
      </w:r>
      <w:r w:rsidR="001002CD">
        <w:rPr>
          <w:rFonts w:ascii="Times New Roman" w:hAnsi="Times New Roman"/>
          <w:sz w:val="24"/>
          <w:szCs w:val="24"/>
        </w:rPr>
        <w:t xml:space="preserve"> a 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AFB1ECE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</w:t>
      </w:r>
      <w:r w:rsidR="001002CD">
        <w:rPr>
          <w:rFonts w:ascii="Times New Roman" w:hAnsi="Times New Roman"/>
          <w:sz w:val="24"/>
          <w:szCs w:val="24"/>
        </w:rPr>
        <w:t>í a podpory</w:t>
      </w:r>
      <w:r w:rsidR="00586F6D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044F63C8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</w:t>
      </w:r>
      <w:r w:rsidR="001002CD">
        <w:rPr>
          <w:rFonts w:ascii="Times New Roman" w:hAnsi="Times New Roman"/>
          <w:sz w:val="24"/>
          <w:szCs w:val="24"/>
        </w:rPr>
        <w:t xml:space="preserve"> a podporu</w:t>
      </w:r>
      <w:r w:rsidR="00586F6D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2405"/>
        <w:gridCol w:w="869"/>
        <w:gridCol w:w="832"/>
        <w:gridCol w:w="1559"/>
        <w:gridCol w:w="1701"/>
        <w:gridCol w:w="1990"/>
      </w:tblGrid>
      <w:tr w:rsidR="007E5275" w:rsidRPr="00A1399C" w14:paraId="1689FD66" w14:textId="77777777" w:rsidTr="00DE3EB1">
        <w:trPr>
          <w:trHeight w:val="16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13EFC" w14:textId="77777777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9ED49" w14:textId="77777777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0FC02" w14:textId="77777777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0C78C" w14:textId="77777777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41223" w14:textId="5F70386F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zariadení pre ktoré je potrebné zabezpečiť licencie / podporu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89F1C" w14:textId="77777777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CB934" w14:textId="2BF05C9C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zariadení , pre ktoré je potrebné zabezpečiť licenciu/podporu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7E5275" w:rsidRPr="00C43AB3" w14:paraId="6B4C2516" w14:textId="77777777" w:rsidTr="00DE3EB1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EF1F" w14:textId="77777777" w:rsidR="007E5275" w:rsidRPr="00C43AB3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5386" w14:textId="77777777" w:rsidR="007E5275" w:rsidRPr="00C43AB3" w:rsidRDefault="007E5275" w:rsidP="00DE3EB1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06EDD">
              <w:rPr>
                <w:rFonts w:ascii="Times New Roman" w:eastAsia="Times New Roman" w:hAnsi="Times New Roman"/>
                <w:color w:val="000000"/>
                <w:lang w:eastAsia="sk-SK"/>
              </w:rPr>
              <w:t>Hardvérová a softvérová podpora pre firewall Palo Alto 220. V rámci podpory sa požaduje výmena firewallu v prípade hardvérovej chyby, dodávka opravných balíkov, nových verzií operačného systému a riešenie technických problémov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1EA9" w14:textId="77777777" w:rsidR="007E5275" w:rsidRPr="00C43AB3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06EDD">
              <w:rPr>
                <w:rFonts w:ascii="Times New Roman" w:eastAsia="Times New Roman" w:hAnsi="Times New Roman"/>
                <w:color w:val="000000"/>
                <w:lang w:eastAsia="sk-SK"/>
              </w:rPr>
              <w:t>PAN-SVC-PREM-220-R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1148" w14:textId="7BC2F7BA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13C1F9D6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139A31D4" w14:textId="7052C6AD" w:rsidR="007E5275" w:rsidRPr="00E065FF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5681" w14:textId="77777777" w:rsidR="007E5275" w:rsidRPr="00C43AB3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14716" w14:textId="77777777" w:rsidR="007E5275" w:rsidRPr="00C43AB3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07FB" w14:textId="77777777" w:rsidR="007E5275" w:rsidRPr="00C43AB3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7E5275" w:rsidRPr="00A1399C" w14:paraId="5EC4A4DF" w14:textId="77777777" w:rsidTr="00DC24F3">
        <w:trPr>
          <w:trHeight w:val="17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B553" w14:textId="77777777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545A" w14:textId="6DF86CAD" w:rsidR="007E5275" w:rsidRPr="00A1399C" w:rsidRDefault="007E5275" w:rsidP="00DE3EB1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5275">
              <w:rPr>
                <w:rFonts w:ascii="Times New Roman" w:eastAsiaTheme="minorHAnsi" w:hAnsi="Times New Roman"/>
                <w:color w:val="000000"/>
              </w:rPr>
              <w:t>Licencie pre službu ochrany pred hrozbami - pravidelné automatické aktualizácie signatúr známych hrozieb pre firewall Palo Alto 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8EC38" w14:textId="651D168C" w:rsidR="007E5275" w:rsidRPr="00203609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03609">
              <w:rPr>
                <w:rFonts w:ascii="Times New Roman" w:eastAsiaTheme="minorHAnsi" w:hAnsi="Times New Roman"/>
                <w:color w:val="000000"/>
              </w:rPr>
              <w:t>PAN-PA-220-TP-R</w:t>
            </w:r>
          </w:p>
          <w:p w14:paraId="4BDAECEC" w14:textId="77777777" w:rsidR="007E5275" w:rsidRPr="00A1399C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FE5A3" w14:textId="441C9AFF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64D97820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05E262A2" w14:textId="10C26205" w:rsidR="007E5275" w:rsidRPr="00E065FF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8FC1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D413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CB7F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5275" w:rsidRPr="00A1399C" w14:paraId="5B36CAD1" w14:textId="77777777" w:rsidTr="00DC24F3">
        <w:trPr>
          <w:trHeight w:val="15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E1C5" w14:textId="77777777" w:rsidR="007E5275" w:rsidRPr="00A1399C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EC1E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Licencie pre službu filtrovania škodlivých URL pre firewall Palo Alto 220 - bezpečnostná analýza a filtrácia webového obsahu v reálnom čase</w:t>
            </w:r>
          </w:p>
          <w:p w14:paraId="785AF45E" w14:textId="61D7D8D2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Funkčné a technické požiadavky</w:t>
            </w:r>
            <w:r w:rsidR="007D3EFE">
              <w:rPr>
                <w:rFonts w:ascii="Times New Roman" w:eastAsiaTheme="minorHAnsi" w:hAnsi="Times New Roman"/>
                <w:color w:val="000000"/>
              </w:rPr>
              <w:t>:</w:t>
            </w:r>
          </w:p>
          <w:p w14:paraId="545DA033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 xml:space="preserve">Inline analýza hrozieb (AI/ML): Detekcia a blokovanie doposiaľ neznámych (Zero-Day) webových hrozieb, phishingových útokov a škodlivého JavaScriptu v reálnom čase priamo v </w:t>
            </w:r>
            <w:r w:rsidRPr="00DC24F3">
              <w:rPr>
                <w:rFonts w:ascii="Times New Roman" w:eastAsiaTheme="minorHAnsi" w:hAnsi="Times New Roman"/>
                <w:color w:val="000000"/>
              </w:rPr>
              <w:lastRenderedPageBreak/>
              <w:t>dátovom toku (inline), bez závislosti od statických databáz.</w:t>
            </w:r>
          </w:p>
          <w:p w14:paraId="26D7ADA7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Kategorizácia obsahu: Dynamické triedenie URL adries do kategórií pre riadenie prístupu používateľov (napr. hazard, sociálne siete, dospelý obsah) a presadzovanie bezpečnostných politík.</w:t>
            </w:r>
          </w:p>
          <w:p w14:paraId="3B2DB370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Reputačná ochrana: Automatické blokovanie známych škodlivých domén, Command-and-Control (C2) serverov, ransomware distribúcie a novoregistrovaných rizikových domén (NRD).</w:t>
            </w:r>
          </w:p>
          <w:p w14:paraId="6349AC5F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Ochrana pred obchádzaním: Detekcia a blokovanie prístupu k proxy serverom, anonymizátorom a neautorizovaným VPN tunelom.</w:t>
            </w:r>
          </w:p>
          <w:p w14:paraId="1C66ACCE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Súhra s dešifrovaním: Podpora pre inteligentné SSL/TLS dešifrovanie na základe kategórií (napr. vynechanie dešifrovania pre bankovníctvo/zdravotníctvo z dôvodu ochrany súkromia).</w:t>
            </w:r>
          </w:p>
          <w:p w14:paraId="2A000AB7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Systémové a licenčné podmienky</w:t>
            </w:r>
          </w:p>
          <w:p w14:paraId="5EA7EAF1" w14:textId="77777777" w:rsidR="00DC24F3" w:rsidRPr="00DC24F3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Integrácia: Natívne prepojenie s existujúcim operačným systémom firewallu (PAN-OS), bez potreby dodatočného hardvéru alebo smerovania prevádzky cez externé proxy.</w:t>
            </w:r>
          </w:p>
          <w:p w14:paraId="4BE3057A" w14:textId="6AECFEEF" w:rsidR="007E5275" w:rsidRPr="00A1399C" w:rsidRDefault="00DC24F3" w:rsidP="00DC24F3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C24F3">
              <w:rPr>
                <w:rFonts w:ascii="Times New Roman" w:eastAsiaTheme="minorHAnsi" w:hAnsi="Times New Roman"/>
                <w:color w:val="000000"/>
              </w:rPr>
              <w:t>Aktualizácie: Nepretržitá cloudová aktualizácia databázy hrozieb (24/7/365) s lokálnou vyrovnávacou pamäťou (cache) na zariadení pre nulový dopad na latenciu.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5FB06" w14:textId="77777777" w:rsidR="007E5275" w:rsidRPr="00A1399C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lastRenderedPageBreak/>
              <w:t>PAN-PA-220-ADVURL-R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C0FFE" w14:textId="3759242B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184E2B96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09EAE8B2" w14:textId="6E192BF1" w:rsidR="007E5275" w:rsidRPr="00E065FF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DB36B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DB4A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65AF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5275" w:rsidRPr="00A1399C" w14:paraId="04774FB2" w14:textId="77777777" w:rsidTr="00DC24F3">
        <w:trPr>
          <w:trHeight w:val="18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AD3C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B38F" w14:textId="77777777" w:rsidR="007E5275" w:rsidRPr="001221F9" w:rsidRDefault="007E5275" w:rsidP="00DE3EB1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>Licencie pre službu pokročilej detekcie neznámeho škodlivého kódu emuláciou v sandboxe a pravidelné automatické aktualizácie už detekovaných signatúr pre zariadenie Palo Alto 3220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649D8" w14:textId="77777777" w:rsidR="007E5275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PAN-PA-3220-WF-HA2-R</w:t>
            </w:r>
          </w:p>
          <w:p w14:paraId="4EFBB597" w14:textId="77777777" w:rsidR="007E5275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a</w:t>
            </w:r>
            <w:r w:rsidRPr="00D06EDD">
              <w:rPr>
                <w:rFonts w:ascii="Times New Roman" w:eastAsiaTheme="minorHAnsi" w:hAnsi="Times New Roman"/>
              </w:rPr>
              <w:t>lebo</w:t>
            </w:r>
          </w:p>
          <w:p w14:paraId="29723EB1" w14:textId="77777777" w:rsidR="007E5275" w:rsidRPr="001221F9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PAN-PA-3220-AWF-HA2-R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BE82A" w14:textId="61A8CBAB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75666141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73ADFE2F" w14:textId="7267BA6B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D4FC6" w14:textId="77777777" w:rsidR="007E5275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6521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62C1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5275" w:rsidRPr="00A1399C" w14:paraId="1F40338D" w14:textId="77777777" w:rsidTr="007D3EFE">
        <w:trPr>
          <w:trHeight w:val="2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2160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4BF5D" w14:textId="517D924F" w:rsidR="007E5275" w:rsidRPr="001221F9" w:rsidRDefault="00DA5489" w:rsidP="00DE3EB1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DA5489">
              <w:rPr>
                <w:rFonts w:ascii="Times New Roman" w:eastAsiaTheme="minorHAnsi" w:hAnsi="Times New Roman"/>
                <w:color w:val="000000"/>
              </w:rPr>
              <w:t>Licencie pre službu ochrany pred hrozbami - pravidelné automatické aktualizácie signatúr známych hrozieb pre zariadenie Palo Alto 3220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E41D5" w14:textId="6E37935C" w:rsidR="007E5275" w:rsidRPr="001221F9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PAN-PA-3220-TP-HA2-R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04332" w14:textId="714A9E82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0E9EC58F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7C0DC41B" w14:textId="3088576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932C0" w14:textId="77777777" w:rsidR="007E5275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BBCD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8F53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5275" w:rsidRPr="00A1399C" w14:paraId="6B901E52" w14:textId="77777777" w:rsidTr="007D3EFE">
        <w:trPr>
          <w:trHeight w:val="1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7E3D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085EE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Licencie pre pokročilé funkcie VPN klienta Global Protect pre zariadenie Palo Alto 3220 -  obnova licencie na sprístupnenie pokročilých bezpečnostných a sieťových funkcií pre mobilných používateľov a vzdialený prístup (VPN), určené pre 1 ks NGFW firewallu Palo Alto Networks PA-3220 fungujúceho v HA klastri.</w:t>
            </w:r>
          </w:p>
          <w:p w14:paraId="679EC6C3" w14:textId="30A5C8DB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Funkčné a technické požiadavky</w:t>
            </w:r>
            <w:r>
              <w:rPr>
                <w:rFonts w:ascii="Times New Roman" w:eastAsiaTheme="minorHAnsi" w:hAnsi="Times New Roman"/>
                <w:color w:val="000000"/>
              </w:rPr>
              <w:t>:</w:t>
            </w:r>
          </w:p>
          <w:p w14:paraId="513C15BC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Rozšírená klientska podpora: Aktivácia plnej funkcionality klienta na mobilných a alternatívnych platformách (Apple iOS, Android, ChromeOS, Linux) nad rámec základného bezlicenčného prístupu pre Windows a macOS.</w:t>
            </w:r>
          </w:p>
          <w:p w14:paraId="091AA08C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Kontrola stavu koncových zariadení (HIP - Host Information Profile):</w:t>
            </w:r>
          </w:p>
          <w:p w14:paraId="5D8DC6C4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 xml:space="preserve">Zisťovanie a vyhodnocovanie bezpečnostného stavu pripájaného zariadenia (napr. kontrola </w:t>
            </w:r>
            <w:r w:rsidRPr="007D3EFE">
              <w:rPr>
                <w:rFonts w:ascii="Times New Roman" w:eastAsiaTheme="minorHAnsi" w:hAnsi="Times New Roman"/>
                <w:color w:val="000000"/>
              </w:rPr>
              <w:lastRenderedPageBreak/>
              <w:t>prítomnosti a aktualizácie antivírusu, zapnutého firewallu, šifrovania disku, verzie OS, patchov).</w:t>
            </w:r>
          </w:p>
          <w:p w14:paraId="230F37FA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Možnosť podmieniť prístup do internej siete splnením definovaných HIP pravidiel.</w:t>
            </w:r>
          </w:p>
          <w:p w14:paraId="19E34571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Pokročilé autentifikačné mechanizmy: Podpora pre integráciu s podnikovými identitnými systémami (SAML 2.0, Multi-Factor Authentication - MFA, klientske certifikáty, prepojenie s externými poskytovateľmi identity).</w:t>
            </w:r>
          </w:p>
          <w:p w14:paraId="3EEBCECD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Inteligentný výber brány (Gateway Selection): Automatické meranie latencie a výber najbližšej/najrýchlejšej VPN brány pre optimálnu odozvu a používateľský komfort.</w:t>
            </w:r>
          </w:p>
          <w:p w14:paraId="776964A3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Podpora IPv6: Plná kontrola, smerovanie a vynucovanie bezpečnostných politík pre prevádzku protokolu IPv6 v rámci VPN tunela.</w:t>
            </w:r>
          </w:p>
          <w:p w14:paraId="2146BD13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Systémové a licenčné podmienky</w:t>
            </w:r>
          </w:p>
          <w:p w14:paraId="31D03F1F" w14:textId="77777777" w:rsidR="007D3EFE" w:rsidRPr="007D3EFE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Architektúra a HA kompatibilita: Licencia je určená pre prevádzku na jednom zariadení v zapojení High Availability (HA klastri). Pre plnú funkčnosť klastra (Active/Passive alebo Active/Active) sa vyžaduje, aby mali obe fyzické zariadenia identickú úroveň licencovania.</w:t>
            </w:r>
          </w:p>
          <w:p w14:paraId="7D25D814" w14:textId="1D124B1A" w:rsidR="007E5275" w:rsidRPr="001221F9" w:rsidRDefault="007D3EFE" w:rsidP="007D3EFE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D3EFE">
              <w:rPr>
                <w:rFonts w:ascii="Times New Roman" w:eastAsiaTheme="minorHAnsi" w:hAnsi="Times New Roman"/>
                <w:color w:val="000000"/>
              </w:rPr>
              <w:t>Integrácia: Natívna súčasť existujúceho operačného systému PAN-OS na firewalle, bez nutnosti inštalácie dedikovaných VPN serverov alebo externých koncentrátorov.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F6317" w14:textId="77777777" w:rsidR="007E5275" w:rsidRPr="001221F9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lastRenderedPageBreak/>
              <w:t>PAN-PA-3220-GP-HA2-R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92B85" w14:textId="50195093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37374FB4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5FF983AE" w14:textId="69F4D3BA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D9B82" w14:textId="77777777" w:rsidR="007E5275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6FEB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4BDD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5275" w:rsidRPr="00A1399C" w14:paraId="593F9809" w14:textId="77777777" w:rsidTr="007D3EFE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231B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78B43" w14:textId="77777777" w:rsidR="007E5275" w:rsidRPr="001221F9" w:rsidRDefault="007E5275" w:rsidP="00DE3EB1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>Licencie pre službu ochrany pred hrozbami DNS protokolu a ochrany pred útokmi využívajúcimi služby DNS pre zariadenie Palo Alto 3220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67BFB" w14:textId="77777777" w:rsidR="007E5275" w:rsidRPr="001221F9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PAN-PA-3220-DNS-HA2-R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F22BA" w14:textId="63446378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59340B8A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3CABA265" w14:textId="5601F59D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1E0CC" w14:textId="77777777" w:rsidR="007E5275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BF5C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10AD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5275" w:rsidRPr="00A1399C" w14:paraId="6C681B31" w14:textId="77777777" w:rsidTr="00DE3EB1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6D47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3F17" w14:textId="77777777" w:rsidR="007E5275" w:rsidRPr="001221F9" w:rsidRDefault="007E5275" w:rsidP="00DE3EB1">
            <w:pPr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D7300">
              <w:rPr>
                <w:rFonts w:ascii="Times New Roman" w:eastAsiaTheme="minorHAnsi" w:hAnsi="Times New Roman"/>
                <w:color w:val="000000"/>
              </w:rPr>
              <w:t>Hardvérová a softvérová podpora pre zariadenie Palo Alto 3220. V rámci podpory sa požaduje výmena zariadenia v prípade hardvérovej chyby, dodávka opravných balíkov, nových verzií operačného systému a riešenie technických problémov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250C2" w14:textId="77777777" w:rsidR="007E5275" w:rsidRPr="001221F9" w:rsidRDefault="007E5275" w:rsidP="00DE3EB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EDD">
              <w:rPr>
                <w:rFonts w:ascii="Times New Roman" w:eastAsiaTheme="minorHAnsi" w:hAnsi="Times New Roman"/>
              </w:rPr>
              <w:t>PAN-SVC-PREM-3220-R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128F9" w14:textId="227CDB22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20.06.2026</w:t>
            </w:r>
          </w:p>
          <w:p w14:paraId="50FDB418" w14:textId="77777777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2FF2DC2E" w14:textId="7B5E5D8B" w:rsidR="007E5275" w:rsidRDefault="007E5275" w:rsidP="00DE3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19.06.2027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593ED" w14:textId="77777777" w:rsidR="007E5275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9BF3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A39B" w14:textId="77777777" w:rsidR="007E5275" w:rsidRPr="00A1399C" w:rsidRDefault="007E5275" w:rsidP="00DE3EB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7E5275" w:rsidRPr="00A1399C" w14:paraId="6A308DBA" w14:textId="77777777" w:rsidTr="00DE3EB1">
        <w:trPr>
          <w:gridAfter w:val="4"/>
          <w:wAfter w:w="6082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0E8153E" w14:textId="77777777" w:rsidR="007E5275" w:rsidRPr="00A1399C" w:rsidRDefault="007E5275" w:rsidP="00DE3E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83ED3A" w14:textId="77777777" w:rsidR="007E5275" w:rsidRPr="00A1399C" w:rsidRDefault="007E5275" w:rsidP="00DE3E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341B1E">
      <w:headerReference w:type="first" r:id="rId11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1AC4" w14:textId="77777777" w:rsidR="00CD6E58" w:rsidRDefault="00CD6E58">
      <w:pPr>
        <w:spacing w:after="0" w:line="240" w:lineRule="auto"/>
      </w:pPr>
      <w:r>
        <w:separator/>
      </w:r>
    </w:p>
  </w:endnote>
  <w:endnote w:type="continuationSeparator" w:id="0">
    <w:p w14:paraId="1825C96C" w14:textId="77777777" w:rsidR="00CD6E58" w:rsidRDefault="00CD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7FE4" w14:textId="77777777" w:rsidR="00CD6E58" w:rsidRDefault="00CD6E58">
      <w:pPr>
        <w:spacing w:after="0" w:line="240" w:lineRule="auto"/>
      </w:pPr>
      <w:r>
        <w:separator/>
      </w:r>
    </w:p>
  </w:footnote>
  <w:footnote w:type="continuationSeparator" w:id="0">
    <w:p w14:paraId="7EB0E583" w14:textId="77777777" w:rsidR="00CD6E58" w:rsidRDefault="00CD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21DFC0BE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</w:t>
    </w:r>
    <w:r w:rsidR="001002CD">
      <w:rPr>
        <w:rFonts w:ascii="Times New Roman" w:hAnsi="Times New Roman"/>
        <w:b/>
        <w:bCs/>
        <w:sz w:val="20"/>
        <w:szCs w:val="20"/>
        <w:lang w:val="sk-SK"/>
      </w:rPr>
      <w:t>ií a podpory</w:t>
    </w:r>
    <w:r>
      <w:rPr>
        <w:rFonts w:ascii="Times New Roman" w:hAnsi="Times New Roman"/>
        <w:b/>
        <w:bCs/>
        <w:sz w:val="20"/>
        <w:szCs w:val="20"/>
        <w:lang w:val="sk-SK"/>
      </w:rPr>
      <w:t xml:space="preserve">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2"/>
  </w:num>
  <w:num w:numId="2" w16cid:durableId="228421152">
    <w:abstractNumId w:val="49"/>
  </w:num>
  <w:num w:numId="3" w16cid:durableId="1308513335">
    <w:abstractNumId w:val="5"/>
  </w:num>
  <w:num w:numId="4" w16cid:durableId="1155414123">
    <w:abstractNumId w:val="40"/>
  </w:num>
  <w:num w:numId="5" w16cid:durableId="1106149302">
    <w:abstractNumId w:val="25"/>
  </w:num>
  <w:num w:numId="6" w16cid:durableId="1044603061">
    <w:abstractNumId w:val="42"/>
  </w:num>
  <w:num w:numId="7" w16cid:durableId="2075817131">
    <w:abstractNumId w:val="8"/>
  </w:num>
  <w:num w:numId="8" w16cid:durableId="2044940930">
    <w:abstractNumId w:val="46"/>
  </w:num>
  <w:num w:numId="9" w16cid:durableId="135730520">
    <w:abstractNumId w:val="19"/>
  </w:num>
  <w:num w:numId="10" w16cid:durableId="1892425285">
    <w:abstractNumId w:val="41"/>
  </w:num>
  <w:num w:numId="11" w16cid:durableId="2055808719">
    <w:abstractNumId w:val="10"/>
  </w:num>
  <w:num w:numId="12" w16cid:durableId="1709841764">
    <w:abstractNumId w:val="29"/>
  </w:num>
  <w:num w:numId="13" w16cid:durableId="1509758015">
    <w:abstractNumId w:val="39"/>
  </w:num>
  <w:num w:numId="14" w16cid:durableId="1041057973">
    <w:abstractNumId w:val="23"/>
  </w:num>
  <w:num w:numId="15" w16cid:durableId="2063475989">
    <w:abstractNumId w:val="48"/>
  </w:num>
  <w:num w:numId="16" w16cid:durableId="515119526">
    <w:abstractNumId w:val="33"/>
  </w:num>
  <w:num w:numId="17" w16cid:durableId="132410660">
    <w:abstractNumId w:val="28"/>
  </w:num>
  <w:num w:numId="18" w16cid:durableId="191964206">
    <w:abstractNumId w:val="9"/>
  </w:num>
  <w:num w:numId="19" w16cid:durableId="923799572">
    <w:abstractNumId w:val="20"/>
  </w:num>
  <w:num w:numId="20" w16cid:durableId="665211239">
    <w:abstractNumId w:val="6"/>
  </w:num>
  <w:num w:numId="21" w16cid:durableId="784348688">
    <w:abstractNumId w:val="35"/>
  </w:num>
  <w:num w:numId="22" w16cid:durableId="1195655354">
    <w:abstractNumId w:val="3"/>
  </w:num>
  <w:num w:numId="23" w16cid:durableId="1797867602">
    <w:abstractNumId w:val="4"/>
  </w:num>
  <w:num w:numId="24" w16cid:durableId="23597231">
    <w:abstractNumId w:val="38"/>
  </w:num>
  <w:num w:numId="25" w16cid:durableId="847717029">
    <w:abstractNumId w:val="11"/>
  </w:num>
  <w:num w:numId="26" w16cid:durableId="853231777">
    <w:abstractNumId w:val="47"/>
  </w:num>
  <w:num w:numId="27" w16cid:durableId="1240404221">
    <w:abstractNumId w:val="36"/>
  </w:num>
  <w:num w:numId="28" w16cid:durableId="883366988">
    <w:abstractNumId w:val="30"/>
  </w:num>
  <w:num w:numId="29" w16cid:durableId="1549492987">
    <w:abstractNumId w:val="37"/>
  </w:num>
  <w:num w:numId="30" w16cid:durableId="1679769528">
    <w:abstractNumId w:val="34"/>
  </w:num>
  <w:num w:numId="31" w16cid:durableId="1906799681">
    <w:abstractNumId w:val="32"/>
  </w:num>
  <w:num w:numId="32" w16cid:durableId="1142773845">
    <w:abstractNumId w:val="13"/>
  </w:num>
  <w:num w:numId="33" w16cid:durableId="87234614">
    <w:abstractNumId w:val="0"/>
  </w:num>
  <w:num w:numId="34" w16cid:durableId="1597205995">
    <w:abstractNumId w:val="44"/>
  </w:num>
  <w:num w:numId="35" w16cid:durableId="834419892">
    <w:abstractNumId w:val="24"/>
  </w:num>
  <w:num w:numId="36" w16cid:durableId="2140220296">
    <w:abstractNumId w:val="15"/>
  </w:num>
  <w:num w:numId="37" w16cid:durableId="1241986788">
    <w:abstractNumId w:val="27"/>
  </w:num>
  <w:num w:numId="38" w16cid:durableId="1933010734">
    <w:abstractNumId w:val="43"/>
  </w:num>
  <w:num w:numId="39" w16cid:durableId="1335763352">
    <w:abstractNumId w:val="17"/>
  </w:num>
  <w:num w:numId="40" w16cid:durableId="993723531">
    <w:abstractNumId w:val="21"/>
  </w:num>
  <w:num w:numId="41" w16cid:durableId="2078934608">
    <w:abstractNumId w:val="1"/>
  </w:num>
  <w:num w:numId="42" w16cid:durableId="1507557159">
    <w:abstractNumId w:val="7"/>
  </w:num>
  <w:num w:numId="43" w16cid:durableId="39480566">
    <w:abstractNumId w:val="16"/>
  </w:num>
  <w:num w:numId="44" w16cid:durableId="1442529257">
    <w:abstractNumId w:val="26"/>
  </w:num>
  <w:num w:numId="45" w16cid:durableId="850685413">
    <w:abstractNumId w:val="45"/>
  </w:num>
  <w:num w:numId="46" w16cid:durableId="219563750">
    <w:abstractNumId w:val="18"/>
  </w:num>
  <w:num w:numId="47" w16cid:durableId="924917540">
    <w:abstractNumId w:val="31"/>
  </w:num>
  <w:num w:numId="48" w16cid:durableId="2018458482">
    <w:abstractNumId w:val="14"/>
  </w:num>
  <w:num w:numId="49" w16cid:durableId="204295042">
    <w:abstractNumId w:val="2"/>
  </w:num>
  <w:num w:numId="50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1C3B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C7330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02CD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1B1E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6787F"/>
    <w:rsid w:val="00371C59"/>
    <w:rsid w:val="00383F89"/>
    <w:rsid w:val="00387234"/>
    <w:rsid w:val="003876F0"/>
    <w:rsid w:val="00392AE7"/>
    <w:rsid w:val="00393DF1"/>
    <w:rsid w:val="00394A06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0840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018"/>
    <w:rsid w:val="004647E2"/>
    <w:rsid w:val="00465D61"/>
    <w:rsid w:val="00467290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05A4"/>
    <w:rsid w:val="00483E44"/>
    <w:rsid w:val="0048673E"/>
    <w:rsid w:val="0049066F"/>
    <w:rsid w:val="00494F52"/>
    <w:rsid w:val="00496779"/>
    <w:rsid w:val="00497619"/>
    <w:rsid w:val="00497AC7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4F76CB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87219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57D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D6E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28D6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57976"/>
    <w:rsid w:val="00763939"/>
    <w:rsid w:val="0076653E"/>
    <w:rsid w:val="00766BF3"/>
    <w:rsid w:val="00766D22"/>
    <w:rsid w:val="007720C6"/>
    <w:rsid w:val="00773D66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4CB3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3EFE"/>
    <w:rsid w:val="007D59A0"/>
    <w:rsid w:val="007E1E93"/>
    <w:rsid w:val="007E22CA"/>
    <w:rsid w:val="007E5275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15D8"/>
    <w:rsid w:val="00902C6D"/>
    <w:rsid w:val="009053A6"/>
    <w:rsid w:val="0090564D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23B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6CEA"/>
    <w:rsid w:val="00A170EC"/>
    <w:rsid w:val="00A17CAA"/>
    <w:rsid w:val="00A20CD7"/>
    <w:rsid w:val="00A24059"/>
    <w:rsid w:val="00A240F1"/>
    <w:rsid w:val="00A26418"/>
    <w:rsid w:val="00A32C48"/>
    <w:rsid w:val="00A33111"/>
    <w:rsid w:val="00A356EC"/>
    <w:rsid w:val="00A41B6B"/>
    <w:rsid w:val="00A4396C"/>
    <w:rsid w:val="00A43E6B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4CBE"/>
    <w:rsid w:val="00B7600F"/>
    <w:rsid w:val="00B76887"/>
    <w:rsid w:val="00B8125B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5EE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6E58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07106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2132"/>
    <w:rsid w:val="00DA363F"/>
    <w:rsid w:val="00DA444E"/>
    <w:rsid w:val="00DA4A32"/>
    <w:rsid w:val="00DA5489"/>
    <w:rsid w:val="00DA694C"/>
    <w:rsid w:val="00DB2C3F"/>
    <w:rsid w:val="00DB2D5A"/>
    <w:rsid w:val="00DB3B57"/>
    <w:rsid w:val="00DB6C6F"/>
    <w:rsid w:val="00DC24F3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2B3"/>
    <w:rsid w:val="00FD0632"/>
    <w:rsid w:val="00FD0B29"/>
    <w:rsid w:val="00FD1CBA"/>
    <w:rsid w:val="00FD7A9B"/>
    <w:rsid w:val="00FD7DA3"/>
    <w:rsid w:val="00FE19BC"/>
    <w:rsid w:val="00FE1DC3"/>
    <w:rsid w:val="00FE371A"/>
    <w:rsid w:val="00FE7F09"/>
    <w:rsid w:val="00FF0E5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9E9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  <w15:docId w15:val="{387633AD-43EC-45FE-9D2B-E1C71B40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4610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Ujmiakova Slavomira /ODVO/MZV</cp:lastModifiedBy>
  <cp:revision>2</cp:revision>
  <dcterms:created xsi:type="dcterms:W3CDTF">2026-05-19T11:27:00Z</dcterms:created>
  <dcterms:modified xsi:type="dcterms:W3CDTF">2026-05-21T12:29:00Z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