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0D63" w14:textId="77777777" w:rsidR="00710994" w:rsidRPr="009A6D7F" w:rsidRDefault="00000000">
      <w:pPr>
        <w:pStyle w:val="Title"/>
        <w:jc w:val="center"/>
        <w:rPr>
          <w:lang w:val="sk-SK"/>
        </w:rPr>
      </w:pPr>
      <w:r w:rsidRPr="009A6D7F">
        <w:rPr>
          <w:lang w:val="sk-SK"/>
        </w:rPr>
        <w:t>PRÍLOHA Č. 8</w:t>
      </w:r>
    </w:p>
    <w:p w14:paraId="3F748F05" w14:textId="77777777" w:rsidR="00710994" w:rsidRPr="009A6D7F" w:rsidRDefault="00000000">
      <w:pPr>
        <w:pStyle w:val="Title"/>
        <w:jc w:val="center"/>
        <w:rPr>
          <w:lang w:val="sk-SK"/>
        </w:rPr>
      </w:pPr>
      <w:r w:rsidRPr="009A6D7F">
        <w:rPr>
          <w:lang w:val="sk-SK"/>
        </w:rPr>
        <w:t>EXIT/TRANSITION PLÁN</w:t>
      </w:r>
    </w:p>
    <w:p w14:paraId="0196C0BB" w14:textId="77777777" w:rsidR="00710994" w:rsidRPr="009A6D7F" w:rsidRDefault="00710994">
      <w:pPr>
        <w:rPr>
          <w:lang w:val="sk-SK"/>
        </w:rPr>
      </w:pPr>
    </w:p>
    <w:p w14:paraId="0F6C68EE" w14:textId="77777777" w:rsidR="00710994" w:rsidRPr="009A6D7F" w:rsidRDefault="00000000">
      <w:pPr>
        <w:pStyle w:val="Heading1"/>
        <w:rPr>
          <w:lang w:val="sk-SK"/>
        </w:rPr>
      </w:pPr>
      <w:r w:rsidRPr="009A6D7F">
        <w:rPr>
          <w:lang w:val="sk-SK"/>
        </w:rPr>
        <w:t xml:space="preserve">1. Účel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plánu</w:t>
      </w:r>
    </w:p>
    <w:p w14:paraId="4D021F45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1.1 Tento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>/</w:t>
      </w:r>
      <w:proofErr w:type="spellStart"/>
      <w:r w:rsidRPr="009A6D7F">
        <w:rPr>
          <w:lang w:val="sk-SK"/>
        </w:rPr>
        <w:t>Transition</w:t>
      </w:r>
      <w:proofErr w:type="spellEnd"/>
      <w:r w:rsidRPr="009A6D7F">
        <w:rPr>
          <w:lang w:val="sk-SK"/>
        </w:rPr>
        <w:t xml:space="preserve"> plán (ďalej len „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plán“) upravuje technické, organizačné a časové podmienky ukončenia poskytovania služieb podľa Zmluvy a zabezpečenia riadneho a kontrolovaného prechodu prevádzky Podporovaných IS na nového dodávateľa alebo na internú prevádzku Ministerstva.</w:t>
      </w:r>
    </w:p>
    <w:p w14:paraId="657670DE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1.2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proces je realizovaný ako riadený </w:t>
      </w:r>
      <w:proofErr w:type="spellStart"/>
      <w:r w:rsidRPr="009A6D7F">
        <w:rPr>
          <w:lang w:val="sk-SK"/>
        </w:rPr>
        <w:t>Transition</w:t>
      </w:r>
      <w:proofErr w:type="spellEnd"/>
      <w:r w:rsidRPr="009A6D7F">
        <w:rPr>
          <w:lang w:val="sk-SK"/>
        </w:rPr>
        <w:t xml:space="preserve"> proces (projekt) s fázami, výstupmi a formálnou akceptáciou. Všetky požiadavky, úkony a rozhodnutia v rámci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procesu musia byť evidované spôsobom uvedeným v tomto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pláne.</w:t>
      </w:r>
    </w:p>
    <w:p w14:paraId="0BD4F23B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1.3 Účelom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plánu je:</w:t>
      </w:r>
    </w:p>
    <w:p w14:paraId="035D8566" w14:textId="3543A1E8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zabezpečiť kontinuitu prevádzky Podporovaných IS do dátumu prechodu podľa dohodnutého harmonogramu,</w:t>
      </w:r>
    </w:p>
    <w:p w14:paraId="35D343DE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minimalizovať prevádzkové, bezpečnostné a legislatívne riziká spojené s ukončením poskytovania služieb,</w:t>
      </w:r>
    </w:p>
    <w:p w14:paraId="04DF5CC4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umožniť riadny a kontrolovaný prenos Dát Ministerstva v definovanom rozsahu a formáte,</w:t>
      </w:r>
    </w:p>
    <w:p w14:paraId="07F678C3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upraviť rozsah a limity súčinnosti Poskytovateľa pri ukončení Zmluvy a pravidlá účtovania činností nad rámec zahrnutého rozsahu.</w:t>
      </w:r>
    </w:p>
    <w:p w14:paraId="1583951A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1.4 Na účely tohto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plánu platí, že:</w:t>
      </w:r>
    </w:p>
    <w:p w14:paraId="73FBCC20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„Testovací export“ je jednorazový export Dát Ministerstva určený na overenie štruktúry, úplnosti a konzistencie exportu a na vykonanie testov migrácie na strane Ministerstva alebo nového dodávateľa.</w:t>
      </w:r>
    </w:p>
    <w:p w14:paraId="1DD2E4FC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„Finálny (ostrý) export“ je jednorazový export Dát Ministerstva určený ako finálne odovzdanie dát ku dňu ukončenia prevádzky v pôvodnom riešení (resp. ku dňu dohodnutému Zmluvnými stranami).</w:t>
      </w:r>
    </w:p>
    <w:p w14:paraId="323C6003" w14:textId="513C2476" w:rsidR="009A6D7F" w:rsidRPr="009A6D7F" w:rsidRDefault="009A6D7F">
      <w:pPr>
        <w:rPr>
          <w:lang w:val="sk-SK"/>
        </w:rPr>
      </w:pPr>
      <w:r w:rsidRPr="009A6D7F">
        <w:rPr>
          <w:lang w:val="sk-SK"/>
        </w:rPr>
        <w:br w:type="page"/>
      </w:r>
    </w:p>
    <w:p w14:paraId="2517E4EE" w14:textId="77777777" w:rsidR="00710994" w:rsidRPr="009A6D7F" w:rsidRDefault="00000000">
      <w:pPr>
        <w:pStyle w:val="Heading1"/>
        <w:rPr>
          <w:lang w:val="sk-SK"/>
        </w:rPr>
      </w:pPr>
      <w:r w:rsidRPr="009A6D7F">
        <w:rPr>
          <w:lang w:val="sk-SK"/>
        </w:rPr>
        <w:lastRenderedPageBreak/>
        <w:t xml:space="preserve">2. Spustenie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procesu a mobilizácia</w:t>
      </w:r>
    </w:p>
    <w:p w14:paraId="20B636F6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2.1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proces sa aktivuje:</w:t>
      </w:r>
    </w:p>
    <w:p w14:paraId="09672D33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doručením oznámenia o nepredĺžení Zmluvy,</w:t>
      </w:r>
    </w:p>
    <w:p w14:paraId="563DA8FC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doručením oznámenia o odstúpení od Zmluvy,</w:t>
      </w:r>
    </w:p>
    <w:p w14:paraId="1688B2E0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dohodou Zmluvných strán o ukončení Zmluvy.</w:t>
      </w:r>
    </w:p>
    <w:p w14:paraId="1543015C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2.2 Do 15 pracovných dní od aktivácie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procesu Zmluvné strany uskutočnia koordinačné (mobilizačné) stretnutie, na ktorom:</w:t>
      </w:r>
    </w:p>
    <w:p w14:paraId="4697F2EC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 xml:space="preserve">potvrdia rámcový harmonogram ukončenia spolupráce a návrh míľnikov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procesu,</w:t>
      </w:r>
    </w:p>
    <w:p w14:paraId="4E4F3308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určia zodpovedné osoby a kontaktné body (vrátane zodpovedných osôb za akceptácie),</w:t>
      </w:r>
    </w:p>
    <w:p w14:paraId="4F6597F1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 xml:space="preserve">potvrdia komunikačné kanály a nástroj evidencie úloh/požiadaviek (napr. Service </w:t>
      </w:r>
      <w:proofErr w:type="spellStart"/>
      <w:r w:rsidRPr="009A6D7F">
        <w:rPr>
          <w:lang w:val="sk-SK"/>
        </w:rPr>
        <w:t>Desk</w:t>
      </w:r>
      <w:proofErr w:type="spellEnd"/>
      <w:r w:rsidRPr="009A6D7F">
        <w:rPr>
          <w:lang w:val="sk-SK"/>
        </w:rPr>
        <w:t>/</w:t>
      </w:r>
      <w:proofErr w:type="spellStart"/>
      <w:r w:rsidRPr="009A6D7F">
        <w:rPr>
          <w:lang w:val="sk-SK"/>
        </w:rPr>
        <w:t>Jira</w:t>
      </w:r>
      <w:proofErr w:type="spellEnd"/>
      <w:r w:rsidRPr="009A6D7F">
        <w:rPr>
          <w:lang w:val="sk-SK"/>
        </w:rPr>
        <w:t>),</w:t>
      </w:r>
    </w:p>
    <w:p w14:paraId="0782D0D2" w14:textId="08F66AFF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potvrdia rozsah požadovaného exportu Dát Ministerstva</w:t>
      </w:r>
      <w:r w:rsidR="00B52311">
        <w:rPr>
          <w:lang w:val="sk-SK"/>
        </w:rPr>
        <w:t>.</w:t>
      </w:r>
    </w:p>
    <w:p w14:paraId="5694085E" w14:textId="77777777" w:rsidR="005B3114" w:rsidRPr="009A6D7F" w:rsidRDefault="005B3114">
      <w:pPr>
        <w:rPr>
          <w:lang w:val="sk-SK"/>
        </w:rPr>
      </w:pPr>
    </w:p>
    <w:p w14:paraId="31B4E1B0" w14:textId="3D8AD386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2.3 Ak Ministerstvo alebo nový dodávateľ neposkytne včas potrebnú súčinnosť (najmä nomináciu zodpovedných osôb, požadované podklady, prístup do testovacieho prostredia alebo akceptácie), primerane sa posúvajú termíny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procesu a činnosti Poskytovateľa sa realizujú podľa pravidiel účtovania nad rámec, </w:t>
      </w:r>
      <w:proofErr w:type="spellStart"/>
      <w:r w:rsidR="00136E97">
        <w:t>ak</w:t>
      </w:r>
      <w:proofErr w:type="spellEnd"/>
      <w:r w:rsidR="00136E97">
        <w:t xml:space="preserve"> to </w:t>
      </w:r>
      <w:proofErr w:type="spellStart"/>
      <w:r w:rsidR="00136E97">
        <w:t>vyžaduje</w:t>
      </w:r>
      <w:proofErr w:type="spellEnd"/>
      <w:r w:rsidR="00136E97">
        <w:t xml:space="preserve"> </w:t>
      </w:r>
      <w:proofErr w:type="spellStart"/>
      <w:r w:rsidR="00136E97">
        <w:t>dodatočné</w:t>
      </w:r>
      <w:proofErr w:type="spellEnd"/>
      <w:r w:rsidR="00136E97">
        <w:t xml:space="preserve"> </w:t>
      </w:r>
      <w:proofErr w:type="spellStart"/>
      <w:r w:rsidR="00136E97">
        <w:t>kapacity</w:t>
      </w:r>
      <w:proofErr w:type="spellEnd"/>
      <w:r w:rsidR="00136E97">
        <w:t xml:space="preserve">, </w:t>
      </w:r>
      <w:proofErr w:type="spellStart"/>
      <w:r w:rsidR="00136E97">
        <w:t>opakované</w:t>
      </w:r>
      <w:proofErr w:type="spellEnd"/>
      <w:r w:rsidR="00136E97">
        <w:t xml:space="preserve"> </w:t>
      </w:r>
      <w:proofErr w:type="spellStart"/>
      <w:r w:rsidR="00136E97">
        <w:t>úkony</w:t>
      </w:r>
      <w:proofErr w:type="spellEnd"/>
      <w:r w:rsidR="00136E97">
        <w:t xml:space="preserve"> </w:t>
      </w:r>
      <w:proofErr w:type="spellStart"/>
      <w:r w:rsidR="00136E97">
        <w:t>alebo</w:t>
      </w:r>
      <w:proofErr w:type="spellEnd"/>
      <w:r w:rsidR="00136E97">
        <w:t xml:space="preserve"> </w:t>
      </w:r>
      <w:proofErr w:type="spellStart"/>
      <w:r w:rsidR="00136E97">
        <w:t>zmenu</w:t>
      </w:r>
      <w:proofErr w:type="spellEnd"/>
      <w:r w:rsidR="00136E97">
        <w:t xml:space="preserve"> </w:t>
      </w:r>
      <w:proofErr w:type="spellStart"/>
      <w:r w:rsidR="00136E97">
        <w:t>harmonogramu</w:t>
      </w:r>
      <w:proofErr w:type="spellEnd"/>
      <w:r w:rsidR="00136E97">
        <w:t>.</w:t>
      </w:r>
    </w:p>
    <w:p w14:paraId="0342E34D" w14:textId="77777777" w:rsidR="00710994" w:rsidRPr="009A6D7F" w:rsidRDefault="00000000">
      <w:pPr>
        <w:pStyle w:val="Heading1"/>
        <w:rPr>
          <w:lang w:val="sk-SK"/>
        </w:rPr>
      </w:pPr>
      <w:r w:rsidRPr="009A6D7F">
        <w:rPr>
          <w:lang w:val="sk-SK"/>
        </w:rPr>
        <w:t xml:space="preserve">3. Fázy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procesu</w:t>
      </w:r>
    </w:p>
    <w:p w14:paraId="3816A397" w14:textId="77777777" w:rsidR="00710994" w:rsidRPr="009A6D7F" w:rsidRDefault="00000000">
      <w:pPr>
        <w:rPr>
          <w:lang w:val="sk-SK"/>
        </w:rPr>
      </w:pP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proces prebieha v nasledovných fázach:</w:t>
      </w:r>
    </w:p>
    <w:p w14:paraId="578EAE8C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>Fáza 1 – Prípravná fáza (mobilizácia a špecifikácia)</w:t>
      </w:r>
    </w:p>
    <w:p w14:paraId="17CB27C6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identifikácia rozsahu Dát Ministerstva a dotknutých integračných väzieb,</w:t>
      </w:r>
    </w:p>
    <w:p w14:paraId="67C19485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potvrdenie technických formátov exportu a bezpečnostných pravidiel odovzdania,</w:t>
      </w:r>
    </w:p>
    <w:p w14:paraId="420C7B01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stanovenie testovacieho harmonogramu a akceptačných okien.</w:t>
      </w:r>
    </w:p>
    <w:p w14:paraId="73D7B86A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>Fáza 2 – Realizačná fáza (exporty a overenie)</w:t>
      </w:r>
    </w:p>
    <w:p w14:paraId="35CABFA8" w14:textId="4E45909D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vykonanie jedného (1) testovacieho exportu Dát Ministerstva,</w:t>
      </w:r>
    </w:p>
    <w:p w14:paraId="3E276154" w14:textId="06030BFC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overenie úplnosti a konzistencie dát</w:t>
      </w:r>
      <w:r w:rsidR="00B52311">
        <w:rPr>
          <w:lang w:val="sk-SK"/>
        </w:rPr>
        <w:t>,</w:t>
      </w:r>
    </w:p>
    <w:p w14:paraId="07CDB06E" w14:textId="0C7E7825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vykonanie jedného (1) finálneho (ostrého) exportu Dát Ministerstva</w:t>
      </w:r>
      <w:r w:rsidR="00B52311">
        <w:rPr>
          <w:lang w:val="sk-SK"/>
        </w:rPr>
        <w:t>,</w:t>
      </w:r>
    </w:p>
    <w:p w14:paraId="78F6286D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odovzdanie dokumentácie dátových štruktúr a sprievodných dokumentov uvedených v čl. 4.</w:t>
      </w:r>
    </w:p>
    <w:p w14:paraId="1679CDD8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>Fáza 3 – Prechodové obdobie (migrácia, prevádzka a ukončenie)</w:t>
      </w:r>
    </w:p>
    <w:p w14:paraId="59DA8ED7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poskytovanie konzultácií a technickej súčinnosti pri migrácii (v rozsahu čl. 6),</w:t>
      </w:r>
    </w:p>
    <w:p w14:paraId="30A6B0DD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udržiavanie Podporovaných IS v bežnej prevádzke počas dohodnutého obdobia (max. 6 mesiacov podľa Zmluvy),</w:t>
      </w:r>
    </w:p>
    <w:p w14:paraId="05DBD133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lastRenderedPageBreak/>
        <w:t xml:space="preserve">realizácia zmenového režimu a change </w:t>
      </w:r>
      <w:proofErr w:type="spellStart"/>
      <w:r w:rsidRPr="009A6D7F">
        <w:rPr>
          <w:lang w:val="sk-SK"/>
        </w:rPr>
        <w:t>freeze</w:t>
      </w:r>
      <w:proofErr w:type="spellEnd"/>
      <w:r w:rsidRPr="009A6D7F">
        <w:rPr>
          <w:lang w:val="sk-SK"/>
        </w:rPr>
        <w:t xml:space="preserve"> podľa čl. 7,</w:t>
      </w:r>
    </w:p>
    <w:p w14:paraId="5CF54CDE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 xml:space="preserve">ukončenie prístupov a </w:t>
      </w:r>
      <w:proofErr w:type="spellStart"/>
      <w:r w:rsidRPr="009A6D7F">
        <w:rPr>
          <w:lang w:val="sk-SK"/>
        </w:rPr>
        <w:t>decommission</w:t>
      </w:r>
      <w:proofErr w:type="spellEnd"/>
      <w:r w:rsidRPr="009A6D7F">
        <w:rPr>
          <w:lang w:val="sk-SK"/>
        </w:rPr>
        <w:t xml:space="preserve"> podľa čl. 8.</w:t>
      </w:r>
    </w:p>
    <w:p w14:paraId="4992DB75" w14:textId="77777777" w:rsidR="00710994" w:rsidRPr="009A6D7F" w:rsidRDefault="00000000">
      <w:pPr>
        <w:pStyle w:val="Heading1"/>
        <w:rPr>
          <w:lang w:val="sk-SK"/>
        </w:rPr>
      </w:pPr>
      <w:r w:rsidRPr="009A6D7F">
        <w:rPr>
          <w:lang w:val="sk-SK"/>
        </w:rPr>
        <w:t>4. Rozsah prenosu Dát Ministerstva a výstupy</w:t>
      </w:r>
    </w:p>
    <w:p w14:paraId="21F9E62E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4.1 Poskytovateľ zabezpečí v rámci </w:t>
      </w:r>
      <w:proofErr w:type="spellStart"/>
      <w:r w:rsidRPr="009A6D7F">
        <w:rPr>
          <w:lang w:val="sk-SK"/>
        </w:rPr>
        <w:t>Included</w:t>
      </w:r>
      <w:proofErr w:type="spellEnd"/>
      <w:r w:rsidRPr="009A6D7F">
        <w:rPr>
          <w:lang w:val="sk-SK"/>
        </w:rPr>
        <w:t xml:space="preserve"> </w:t>
      </w:r>
      <w:proofErr w:type="spellStart"/>
      <w:r w:rsidRPr="009A6D7F">
        <w:rPr>
          <w:lang w:val="sk-SK"/>
        </w:rPr>
        <w:t>scope</w:t>
      </w:r>
      <w:proofErr w:type="spellEnd"/>
      <w:r w:rsidRPr="009A6D7F">
        <w:rPr>
          <w:lang w:val="sk-SK"/>
        </w:rPr>
        <w:t xml:space="preserve"> minimálne:</w:t>
      </w:r>
    </w:p>
    <w:p w14:paraId="0B0041EA" w14:textId="77777777" w:rsidR="00710994" w:rsidRPr="009A6D7F" w:rsidRDefault="00000000">
      <w:pPr>
        <w:ind w:left="283" w:hanging="283"/>
        <w:rPr>
          <w:lang w:val="sk-SK"/>
        </w:rPr>
      </w:pPr>
      <w:r w:rsidRPr="009A6D7F">
        <w:rPr>
          <w:lang w:val="sk-SK"/>
        </w:rPr>
        <w:t>a) jeden (1) testovací export Dát Ministerstva v štruktúrovanej, bežne používanej a strojovo spracovateľnej forme (najmä CSV, XML alebo JSON),</w:t>
      </w:r>
    </w:p>
    <w:p w14:paraId="23ED6143" w14:textId="77777777" w:rsidR="00710994" w:rsidRPr="009A6D7F" w:rsidRDefault="00000000">
      <w:pPr>
        <w:ind w:left="283" w:hanging="283"/>
        <w:rPr>
          <w:lang w:val="sk-SK"/>
        </w:rPr>
      </w:pPr>
      <w:r w:rsidRPr="009A6D7F">
        <w:rPr>
          <w:lang w:val="sk-SK"/>
        </w:rPr>
        <w:t>b) jeden (1) finálny (ostrý) export všetkých Dát Ministerstva v štruktúrovanej, bežne používanej a strojovo spracovateľnej forme (najmä CSV, XML alebo JSON),</w:t>
      </w:r>
    </w:p>
    <w:p w14:paraId="64B9041B" w14:textId="49103A3A" w:rsidR="00710994" w:rsidRPr="009A6D7F" w:rsidRDefault="00000000">
      <w:pPr>
        <w:ind w:left="283" w:hanging="283"/>
        <w:rPr>
          <w:lang w:val="sk-SK"/>
        </w:rPr>
      </w:pPr>
      <w:r w:rsidRPr="009A6D7F">
        <w:rPr>
          <w:lang w:val="sk-SK"/>
        </w:rPr>
        <w:t>c) dokumentáciu dátových štruktúr v rozsahu nevyhnutnom na technickú migráciu Dát Ministerstva</w:t>
      </w:r>
      <w:r w:rsidR="00B52311">
        <w:rPr>
          <w:lang w:val="sk-SK"/>
        </w:rPr>
        <w:t>,</w:t>
      </w:r>
    </w:p>
    <w:p w14:paraId="1D48126B" w14:textId="41EC1561" w:rsidR="00710994" w:rsidRPr="009A6D7F" w:rsidRDefault="00B52311">
      <w:pPr>
        <w:ind w:left="283" w:hanging="283"/>
        <w:rPr>
          <w:lang w:val="sk-SK"/>
        </w:rPr>
      </w:pPr>
      <w:r>
        <w:rPr>
          <w:lang w:val="sk-SK"/>
        </w:rPr>
        <w:t>d</w:t>
      </w:r>
      <w:r w:rsidRPr="009A6D7F">
        <w:rPr>
          <w:lang w:val="sk-SK"/>
        </w:rPr>
        <w:t>) odovzdanie sprievodných informácií potrebných na interpretáciu exportu (napr. zoznam číselníkov a základných referenčných väzieb),</w:t>
      </w:r>
    </w:p>
    <w:p w14:paraId="58CB7C15" w14:textId="3F8C31D4" w:rsidR="00710994" w:rsidRPr="009A6D7F" w:rsidRDefault="00000000">
      <w:pPr>
        <w:rPr>
          <w:lang w:val="sk-SK"/>
        </w:rPr>
      </w:pPr>
      <w:r w:rsidRPr="009A6D7F">
        <w:rPr>
          <w:lang w:val="sk-SK"/>
        </w:rPr>
        <w:t>4.</w:t>
      </w:r>
      <w:r w:rsidR="00136E97">
        <w:rPr>
          <w:lang w:val="sk-SK"/>
        </w:rPr>
        <w:t>2</w:t>
      </w:r>
      <w:r w:rsidRPr="009A6D7F">
        <w:rPr>
          <w:lang w:val="sk-SK"/>
        </w:rPr>
        <w:t xml:space="preserve"> Prenos Dát Ministerstva nezahŕňa:</w:t>
      </w:r>
    </w:p>
    <w:p w14:paraId="11640CF8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odovzdanie zdrojového kódu,</w:t>
      </w:r>
    </w:p>
    <w:p w14:paraId="465249AE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aplikačnú logiku,</w:t>
      </w:r>
    </w:p>
    <w:p w14:paraId="5DE16BE8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interné algoritmy,</w:t>
      </w:r>
    </w:p>
    <w:p w14:paraId="2BF57900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konfiguračné know-how,</w:t>
      </w:r>
    </w:p>
    <w:p w14:paraId="032FC70D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interné metodiky,</w:t>
      </w:r>
    </w:p>
    <w:p w14:paraId="5AF3ED3A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vývojové nástroje,</w:t>
      </w:r>
    </w:p>
    <w:p w14:paraId="5AE0AA0E" w14:textId="77777777" w:rsidR="00710994" w:rsidRDefault="00000000">
      <w:pPr>
        <w:pStyle w:val="ListBullet"/>
        <w:rPr>
          <w:lang w:val="sk-SK"/>
        </w:rPr>
      </w:pPr>
      <w:r w:rsidRPr="009A6D7F">
        <w:rPr>
          <w:lang w:val="sk-SK"/>
        </w:rPr>
        <w:t>ani iné know-how Poskytovateľa nad rámec dokumentácie dátových štruktúr nevyhnutnej na migráciu dát.</w:t>
      </w:r>
    </w:p>
    <w:p w14:paraId="7FEC957F" w14:textId="77777777" w:rsidR="00EE760A" w:rsidRDefault="00EE760A" w:rsidP="00EE760A">
      <w:pPr>
        <w:pStyle w:val="ListBullet"/>
        <w:numPr>
          <w:ilvl w:val="0"/>
          <w:numId w:val="0"/>
        </w:numPr>
        <w:ind w:left="360"/>
        <w:rPr>
          <w:lang w:val="sk-SK"/>
        </w:rPr>
      </w:pPr>
    </w:p>
    <w:p w14:paraId="4AD7874D" w14:textId="0AB54929" w:rsidR="00EE760A" w:rsidRPr="009A6D7F" w:rsidRDefault="00EE760A" w:rsidP="00EE760A">
      <w:pPr>
        <w:pStyle w:val="ListBullet"/>
        <w:numPr>
          <w:ilvl w:val="0"/>
          <w:numId w:val="0"/>
        </w:numPr>
        <w:rPr>
          <w:lang w:val="sk-SK"/>
        </w:rPr>
      </w:pPr>
      <w:r>
        <w:t>4.</w:t>
      </w:r>
      <w:r w:rsidR="00136E97">
        <w:t>3</w:t>
      </w:r>
      <w:r>
        <w:t xml:space="preserve"> </w:t>
      </w:r>
      <w:proofErr w:type="spellStart"/>
      <w:r>
        <w:t>Poskytovateľ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export </w:t>
      </w:r>
      <w:proofErr w:type="spellStart"/>
      <w:r>
        <w:t>dát</w:t>
      </w:r>
      <w:proofErr w:type="spellEnd"/>
      <w:r>
        <w:t xml:space="preserve"> „as-is“, t. j.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dát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dňu</w:t>
      </w:r>
      <w:proofErr w:type="spellEnd"/>
      <w:r>
        <w:t xml:space="preserve"> </w:t>
      </w:r>
      <w:proofErr w:type="spellStart"/>
      <w:r>
        <w:t>exportu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v </w:t>
      </w:r>
      <w:proofErr w:type="spellStart"/>
      <w:r>
        <w:t>systéme</w:t>
      </w:r>
      <w:proofErr w:type="spellEnd"/>
      <w:r>
        <w:t xml:space="preserve"> a </w:t>
      </w:r>
      <w:proofErr w:type="spellStart"/>
      <w:r>
        <w:t>evidované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štandardnej</w:t>
      </w:r>
      <w:proofErr w:type="spellEnd"/>
      <w:r>
        <w:t xml:space="preserve"> </w:t>
      </w:r>
      <w:proofErr w:type="spellStart"/>
      <w:r>
        <w:t>prevádzky</w:t>
      </w:r>
      <w:proofErr w:type="spellEnd"/>
      <w:r>
        <w:t xml:space="preserve">. </w:t>
      </w:r>
      <w:proofErr w:type="spellStart"/>
      <w:r>
        <w:t>Poskytovateľ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spätne</w:t>
      </w:r>
      <w:proofErr w:type="spellEnd"/>
      <w:r>
        <w:t xml:space="preserve"> </w:t>
      </w:r>
      <w:proofErr w:type="spellStart"/>
      <w:r>
        <w:t>rekonštruovať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generovať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historicky</w:t>
      </w:r>
      <w:proofErr w:type="spellEnd"/>
      <w:r>
        <w:t xml:space="preserve"> </w:t>
      </w:r>
      <w:proofErr w:type="spellStart"/>
      <w:r>
        <w:t>nezbierali</w:t>
      </w:r>
      <w:proofErr w:type="spellEnd"/>
      <w:r>
        <w:t xml:space="preserve">, </w:t>
      </w:r>
      <w:proofErr w:type="spellStart"/>
      <w:r>
        <w:t>neevidovali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retenčných</w:t>
      </w:r>
      <w:proofErr w:type="spellEnd"/>
      <w:r>
        <w:t xml:space="preserve"> </w:t>
      </w:r>
      <w:proofErr w:type="spellStart"/>
      <w:r>
        <w:t>pravidiel</w:t>
      </w:r>
      <w:proofErr w:type="spellEnd"/>
      <w:r>
        <w:t>.</w:t>
      </w:r>
    </w:p>
    <w:p w14:paraId="09415842" w14:textId="77777777" w:rsidR="00710994" w:rsidRPr="009A6D7F" w:rsidRDefault="00000000">
      <w:pPr>
        <w:pStyle w:val="Heading1"/>
        <w:rPr>
          <w:lang w:val="sk-SK"/>
        </w:rPr>
      </w:pPr>
      <w:r w:rsidRPr="009A6D7F">
        <w:rPr>
          <w:lang w:val="sk-SK"/>
        </w:rPr>
        <w:t>5. Formát, kvalita a akceptácia dát</w:t>
      </w:r>
    </w:p>
    <w:p w14:paraId="2AE38317" w14:textId="18FCFDDC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5.1 Dáta budú odovzdané v otvorenom a bežne používanom formáte. </w:t>
      </w:r>
    </w:p>
    <w:p w14:paraId="7528DC26" w14:textId="3CA3AFAC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5.2 Akceptácia testovacieho exportu slúži na identifikáciu štrukturálnych a konzistenčných nezrovnalostí exportu. </w:t>
      </w:r>
    </w:p>
    <w:p w14:paraId="011DF76A" w14:textId="37C5E47E" w:rsidR="00710994" w:rsidRPr="009A6D7F" w:rsidRDefault="00000000">
      <w:pPr>
        <w:rPr>
          <w:lang w:val="sk-SK"/>
        </w:rPr>
      </w:pPr>
      <w:r w:rsidRPr="009A6D7F">
        <w:rPr>
          <w:lang w:val="sk-SK"/>
        </w:rPr>
        <w:t>5.</w:t>
      </w:r>
      <w:r w:rsidR="005B3114" w:rsidRPr="009A6D7F">
        <w:rPr>
          <w:lang w:val="sk-SK"/>
        </w:rPr>
        <w:t>3</w:t>
      </w:r>
      <w:r w:rsidRPr="009A6D7F">
        <w:rPr>
          <w:lang w:val="sk-SK"/>
        </w:rPr>
        <w:t xml:space="preserve"> Ministerstvo je povinné zabezpečiť testovanie prijatých dát a doručiť Poskytovateľovi protokol z testovania (vrátane zoznamu zistených nesúladov) v lehote najneskôr 10 pracovných dní od odovzdania príslušného exportu, pokiaľ sa Zmluvné strany písomne nedohodnú inak. Ak Ministerstvo v tejto lehote neoznámi relevantné nesúlady, export sa považuje za akceptovaný.</w:t>
      </w:r>
    </w:p>
    <w:p w14:paraId="75A94884" w14:textId="2BD66390" w:rsidR="00710994" w:rsidRPr="009A6D7F" w:rsidRDefault="00000000">
      <w:pPr>
        <w:rPr>
          <w:lang w:val="sk-SK"/>
        </w:rPr>
      </w:pPr>
      <w:r w:rsidRPr="009A6D7F">
        <w:rPr>
          <w:lang w:val="sk-SK"/>
        </w:rPr>
        <w:lastRenderedPageBreak/>
        <w:t>5.</w:t>
      </w:r>
      <w:r w:rsidR="005B3114" w:rsidRPr="009A6D7F">
        <w:rPr>
          <w:lang w:val="sk-SK"/>
        </w:rPr>
        <w:t>4</w:t>
      </w:r>
      <w:r w:rsidRPr="009A6D7F">
        <w:rPr>
          <w:lang w:val="sk-SK"/>
        </w:rPr>
        <w:t xml:space="preserve"> Poskytovateľ nezodpovedá za:</w:t>
      </w:r>
    </w:p>
    <w:p w14:paraId="7A4FD3D5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logiku nového informačného systému,</w:t>
      </w:r>
    </w:p>
    <w:p w14:paraId="637E7CB3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spôsob transformácie dát do cieľového systému,</w:t>
      </w:r>
    </w:p>
    <w:p w14:paraId="0682D5A5" w14:textId="6E972FA6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chyby spôsobené migráciou realizovanou tretím subjektom alebo nesprávnou interpretáciou exportovaných dát mimo rozsahu dokumentácie.</w:t>
      </w:r>
    </w:p>
    <w:p w14:paraId="644ABCA8" w14:textId="77777777" w:rsidR="00710994" w:rsidRPr="009A6D7F" w:rsidRDefault="00000000">
      <w:pPr>
        <w:pStyle w:val="Heading1"/>
        <w:rPr>
          <w:lang w:val="sk-SK"/>
        </w:rPr>
      </w:pPr>
      <w:r w:rsidRPr="009A6D7F">
        <w:rPr>
          <w:lang w:val="sk-SK"/>
        </w:rPr>
        <w:t>6. Súčinnosť Poskytovateľa, limity a účtovanie</w:t>
      </w:r>
    </w:p>
    <w:p w14:paraId="22346F32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>6.1 Poskytovateľ poskytne súčinnosť maximálne po dobu šiestich (6) mesiacov od skončenia Zmluvy, pokiaľ sa Zmluvné strany nedohodnú inak.</w:t>
      </w:r>
    </w:p>
    <w:p w14:paraId="509A95CC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6.2 Súčinnosť v rámci </w:t>
      </w:r>
      <w:proofErr w:type="spellStart"/>
      <w:r w:rsidRPr="009A6D7F">
        <w:rPr>
          <w:lang w:val="sk-SK"/>
        </w:rPr>
        <w:t>Included</w:t>
      </w:r>
      <w:proofErr w:type="spellEnd"/>
      <w:r w:rsidRPr="009A6D7F">
        <w:rPr>
          <w:lang w:val="sk-SK"/>
        </w:rPr>
        <w:t xml:space="preserve"> </w:t>
      </w:r>
      <w:proofErr w:type="spellStart"/>
      <w:r w:rsidRPr="009A6D7F">
        <w:rPr>
          <w:lang w:val="sk-SK"/>
        </w:rPr>
        <w:t>scope</w:t>
      </w:r>
      <w:proofErr w:type="spellEnd"/>
      <w:r w:rsidRPr="009A6D7F">
        <w:rPr>
          <w:lang w:val="sk-SK"/>
        </w:rPr>
        <w:t xml:space="preserve"> zahŕňa najmä:</w:t>
      </w:r>
    </w:p>
    <w:p w14:paraId="55719BA2" w14:textId="390BEF29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konzultácie k dátovej štruktúre,</w:t>
      </w:r>
    </w:p>
    <w:p w14:paraId="026C7E9B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vysvetlenie technických väzieb medzi hlavnými entitami,</w:t>
      </w:r>
    </w:p>
    <w:p w14:paraId="1741B13D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účasť na koordinačných stretnutiach a workshopoch v dohodnutom rozsahu,</w:t>
      </w:r>
    </w:p>
    <w:p w14:paraId="4E393C17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podporu pri testovacích migráciách súvisiacich s jedným (1) testovacím exportom.</w:t>
      </w:r>
    </w:p>
    <w:p w14:paraId="04C3216A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6.3 Činnosti nad rámec </w:t>
      </w:r>
      <w:proofErr w:type="spellStart"/>
      <w:r w:rsidRPr="009A6D7F">
        <w:rPr>
          <w:lang w:val="sk-SK"/>
        </w:rPr>
        <w:t>Included</w:t>
      </w:r>
      <w:proofErr w:type="spellEnd"/>
      <w:r w:rsidRPr="009A6D7F">
        <w:rPr>
          <w:lang w:val="sk-SK"/>
        </w:rPr>
        <w:t xml:space="preserve"> </w:t>
      </w:r>
      <w:proofErr w:type="spellStart"/>
      <w:r w:rsidRPr="009A6D7F">
        <w:rPr>
          <w:lang w:val="sk-SK"/>
        </w:rPr>
        <w:t>scope</w:t>
      </w:r>
      <w:proofErr w:type="spellEnd"/>
      <w:r w:rsidRPr="009A6D7F">
        <w:rPr>
          <w:lang w:val="sk-SK"/>
        </w:rPr>
        <w:t xml:space="preserve"> (najmä ďalšie exporty nad rámec jedného testovacieho a jedného finálneho exportu, ďalšie migračné cykly, dodatočné workshopy, rozšírená dokumentácia alebo opakované úkony z dôvodov mimo Poskytovateľa) budú účtované podľa hodinových sadzieb uvedených v Prílohe č. 3 Zmluvy, pokiaľ sa Zmluvné strany nedohodnú inak.</w:t>
      </w:r>
    </w:p>
    <w:p w14:paraId="4CE597EE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6.4 Práce nad rámec </w:t>
      </w:r>
      <w:proofErr w:type="spellStart"/>
      <w:r w:rsidRPr="009A6D7F">
        <w:rPr>
          <w:lang w:val="sk-SK"/>
        </w:rPr>
        <w:t>Included</w:t>
      </w:r>
      <w:proofErr w:type="spellEnd"/>
      <w:r w:rsidRPr="009A6D7F">
        <w:rPr>
          <w:lang w:val="sk-SK"/>
        </w:rPr>
        <w:t xml:space="preserve"> </w:t>
      </w:r>
      <w:proofErr w:type="spellStart"/>
      <w:r w:rsidRPr="009A6D7F">
        <w:rPr>
          <w:lang w:val="sk-SK"/>
        </w:rPr>
        <w:t>scope</w:t>
      </w:r>
      <w:proofErr w:type="spellEnd"/>
      <w:r w:rsidRPr="009A6D7F">
        <w:rPr>
          <w:lang w:val="sk-SK"/>
        </w:rPr>
        <w:t xml:space="preserve"> sa začnú realizovať až po písomnom schválení Ministerstvom (pre-</w:t>
      </w:r>
      <w:proofErr w:type="spellStart"/>
      <w:r w:rsidRPr="009A6D7F">
        <w:rPr>
          <w:lang w:val="sk-SK"/>
        </w:rPr>
        <w:t>approval</w:t>
      </w:r>
      <w:proofErr w:type="spellEnd"/>
      <w:r w:rsidRPr="009A6D7F">
        <w:rPr>
          <w:lang w:val="sk-SK"/>
        </w:rPr>
        <w:t xml:space="preserve"> alebo schválený change </w:t>
      </w:r>
      <w:proofErr w:type="spellStart"/>
      <w:r w:rsidRPr="009A6D7F">
        <w:rPr>
          <w:lang w:val="sk-SK"/>
        </w:rPr>
        <w:t>request</w:t>
      </w:r>
      <w:proofErr w:type="spellEnd"/>
      <w:r w:rsidRPr="009A6D7F">
        <w:rPr>
          <w:lang w:val="sk-SK"/>
        </w:rPr>
        <w:t>). Schválenie musí obsahovať minimálne popis požiadavky, odhad prác, termín a dopad na harmonogram.</w:t>
      </w:r>
    </w:p>
    <w:p w14:paraId="3A5BC6BA" w14:textId="1DD86E71" w:rsidR="00710994" w:rsidRPr="009A6D7F" w:rsidRDefault="00000000">
      <w:pPr>
        <w:rPr>
          <w:lang w:val="sk-SK"/>
        </w:rPr>
      </w:pPr>
      <w:r w:rsidRPr="009A6D7F">
        <w:rPr>
          <w:lang w:val="sk-SK"/>
        </w:rPr>
        <w:t>6.</w:t>
      </w:r>
      <w:r w:rsidR="005B3114" w:rsidRPr="009A6D7F">
        <w:rPr>
          <w:lang w:val="sk-SK"/>
        </w:rPr>
        <w:t>5</w:t>
      </w:r>
      <w:r w:rsidRPr="009A6D7F">
        <w:rPr>
          <w:lang w:val="sk-SK"/>
        </w:rPr>
        <w:t xml:space="preserve"> Zmeny rozsahu exportu, požiadavky na dodatočné historické údaje, alebo zmeny harmonogramu sa realizujú výlučne prostredníctvom schváleného change </w:t>
      </w:r>
      <w:proofErr w:type="spellStart"/>
      <w:r w:rsidRPr="009A6D7F">
        <w:rPr>
          <w:lang w:val="sk-SK"/>
        </w:rPr>
        <w:t>requestu</w:t>
      </w:r>
      <w:proofErr w:type="spellEnd"/>
      <w:r w:rsidRPr="009A6D7F">
        <w:rPr>
          <w:lang w:val="sk-SK"/>
        </w:rPr>
        <w:t>, vrátane dopadu na cenu a termín.</w:t>
      </w:r>
    </w:p>
    <w:p w14:paraId="6DE3B053" w14:textId="77777777" w:rsidR="00710994" w:rsidRPr="009A6D7F" w:rsidRDefault="00000000">
      <w:pPr>
        <w:pStyle w:val="Heading1"/>
        <w:rPr>
          <w:lang w:val="sk-SK"/>
        </w:rPr>
      </w:pPr>
      <w:r w:rsidRPr="009A6D7F">
        <w:rPr>
          <w:lang w:val="sk-SK"/>
        </w:rPr>
        <w:t>7. Prevádzka počas prechodného obdobia a zmenový režim</w:t>
      </w:r>
    </w:p>
    <w:p w14:paraId="52F0496D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>7.1 Ak sa Zmluvné strany nedohodnú inak, Podporované IS budú počas prechodného obdobia prevádzkované v štandardnom režime.</w:t>
      </w:r>
    </w:p>
    <w:p w14:paraId="673DBC61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7.2 Počas prechodného obdobia sa uplatňujú rovnaké servisné podmienky ako počas trvania Zmluvy, pričom </w:t>
      </w:r>
      <w:proofErr w:type="spellStart"/>
      <w:r w:rsidRPr="009A6D7F">
        <w:rPr>
          <w:lang w:val="sk-SK"/>
        </w:rPr>
        <w:t>Transition</w:t>
      </w:r>
      <w:proofErr w:type="spellEnd"/>
      <w:r w:rsidRPr="009A6D7F">
        <w:rPr>
          <w:lang w:val="sk-SK"/>
        </w:rPr>
        <w:t xml:space="preserve"> služby podľa tohto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plánu sú samostatne riadené a evidované podľa čl. 6.</w:t>
      </w:r>
    </w:p>
    <w:p w14:paraId="4670B0A7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 xml:space="preserve">7.3 Od dátumu dohodnutého na koordinačnom stretnutí môže byť uplatnený Change </w:t>
      </w:r>
      <w:proofErr w:type="spellStart"/>
      <w:r w:rsidRPr="009A6D7F">
        <w:rPr>
          <w:lang w:val="sk-SK"/>
        </w:rPr>
        <w:t>Freeze</w:t>
      </w:r>
      <w:proofErr w:type="spellEnd"/>
      <w:r w:rsidRPr="009A6D7F">
        <w:rPr>
          <w:lang w:val="sk-SK"/>
        </w:rPr>
        <w:t xml:space="preserve">, t. j. obmedzenie bežných zmien v Podporovaných IS, aby bola zabezpečená stabilita pre migráciu. Výnimky (bezpečnostné opravy, kritické incidenty a legislatívne povinné zmeny) sa realizujú podľa schváleného change </w:t>
      </w:r>
      <w:proofErr w:type="spellStart"/>
      <w:r w:rsidRPr="009A6D7F">
        <w:rPr>
          <w:lang w:val="sk-SK"/>
        </w:rPr>
        <w:t>requestu</w:t>
      </w:r>
      <w:proofErr w:type="spellEnd"/>
      <w:r w:rsidRPr="009A6D7F">
        <w:rPr>
          <w:lang w:val="sk-SK"/>
        </w:rPr>
        <w:t xml:space="preserve"> a môžu mať dopad na harmonogram a cenu </w:t>
      </w:r>
      <w:proofErr w:type="spellStart"/>
      <w:r w:rsidRPr="009A6D7F">
        <w:rPr>
          <w:lang w:val="sk-SK"/>
        </w:rPr>
        <w:t>Exit</w:t>
      </w:r>
      <w:proofErr w:type="spellEnd"/>
      <w:r w:rsidRPr="009A6D7F">
        <w:rPr>
          <w:lang w:val="sk-SK"/>
        </w:rPr>
        <w:t xml:space="preserve"> procesu.</w:t>
      </w:r>
    </w:p>
    <w:p w14:paraId="65427747" w14:textId="77777777" w:rsidR="00710994" w:rsidRPr="009A6D7F" w:rsidRDefault="00000000">
      <w:pPr>
        <w:pStyle w:val="Heading1"/>
        <w:rPr>
          <w:lang w:val="sk-SK"/>
        </w:rPr>
      </w:pPr>
      <w:r w:rsidRPr="009A6D7F">
        <w:rPr>
          <w:lang w:val="sk-SK"/>
        </w:rPr>
        <w:lastRenderedPageBreak/>
        <w:t xml:space="preserve">8. Ukončenie prístupov a </w:t>
      </w:r>
      <w:proofErr w:type="spellStart"/>
      <w:r w:rsidRPr="009A6D7F">
        <w:rPr>
          <w:lang w:val="sk-SK"/>
        </w:rPr>
        <w:t>decommission</w:t>
      </w:r>
      <w:proofErr w:type="spellEnd"/>
    </w:p>
    <w:p w14:paraId="41E6DB66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>8.1 Po vykonaní finálneho exportu a uplynutí prechodného obdobia (alebo po dohodnutom dátume ukončenia prevádzky) Poskytovateľ:</w:t>
      </w:r>
    </w:p>
    <w:p w14:paraId="507BB484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ukončí svoje prístupové oprávnenia do prostredí Podporovaných IS,</w:t>
      </w:r>
    </w:p>
    <w:p w14:paraId="1FC4C4DA" w14:textId="77777777" w:rsidR="00710994" w:rsidRPr="009A6D7F" w:rsidRDefault="00000000">
      <w:pPr>
        <w:pStyle w:val="ListBullet"/>
        <w:rPr>
          <w:lang w:val="sk-SK"/>
        </w:rPr>
      </w:pPr>
      <w:r w:rsidRPr="009A6D7F">
        <w:rPr>
          <w:lang w:val="sk-SK"/>
        </w:rPr>
        <w:t>poskytne Ministerstvu písomné potvrdenie o ukončení prístupu.</w:t>
      </w:r>
    </w:p>
    <w:p w14:paraId="29011F92" w14:textId="2C1C21B3" w:rsidR="00710994" w:rsidRPr="009A6D7F" w:rsidRDefault="00000000">
      <w:pPr>
        <w:rPr>
          <w:lang w:val="sk-SK"/>
        </w:rPr>
      </w:pPr>
      <w:r w:rsidRPr="009A6D7F">
        <w:rPr>
          <w:lang w:val="sk-SK"/>
        </w:rPr>
        <w:t>8.</w:t>
      </w:r>
      <w:r w:rsidR="005B3114" w:rsidRPr="009A6D7F">
        <w:rPr>
          <w:lang w:val="sk-SK"/>
        </w:rPr>
        <w:t>2</w:t>
      </w:r>
      <w:r w:rsidRPr="009A6D7F">
        <w:rPr>
          <w:lang w:val="sk-SK"/>
        </w:rPr>
        <w:t xml:space="preserve"> </w:t>
      </w:r>
      <w:proofErr w:type="spellStart"/>
      <w:r w:rsidRPr="009A6D7F">
        <w:rPr>
          <w:lang w:val="sk-SK"/>
        </w:rPr>
        <w:t>Decommission</w:t>
      </w:r>
      <w:proofErr w:type="spellEnd"/>
      <w:r w:rsidRPr="009A6D7F">
        <w:rPr>
          <w:lang w:val="sk-SK"/>
        </w:rPr>
        <w:t xml:space="preserve"> (vypnutie/archivácia) komponentov Podporovaných IS sa vykoná v rozsahu dohodnutom Zmluvnými stranami s ohľadom na bezpečnostné a retenčné pravidlá a po akceptácii, že finálny export bol</w:t>
      </w:r>
      <w:r w:rsidR="00EE760A">
        <w:rPr>
          <w:lang w:val="sk-SK"/>
        </w:rPr>
        <w:t xml:space="preserve"> riadne</w:t>
      </w:r>
      <w:r w:rsidRPr="009A6D7F">
        <w:rPr>
          <w:lang w:val="sk-SK"/>
        </w:rPr>
        <w:t xml:space="preserve"> odovzdaný.</w:t>
      </w:r>
    </w:p>
    <w:p w14:paraId="2B24F7BC" w14:textId="77777777" w:rsidR="00710994" w:rsidRPr="009A6D7F" w:rsidRDefault="00000000">
      <w:pPr>
        <w:pStyle w:val="Heading1"/>
        <w:rPr>
          <w:lang w:val="sk-SK"/>
        </w:rPr>
      </w:pPr>
      <w:r w:rsidRPr="009A6D7F">
        <w:rPr>
          <w:lang w:val="sk-SK"/>
        </w:rPr>
        <w:t>9. Ochrana dôverných informácií a uchovanie záznamov</w:t>
      </w:r>
    </w:p>
    <w:p w14:paraId="4440BD04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>9.1 Povinnosť mlčanlivosti trvá aj po skončení Zmluvy.</w:t>
      </w:r>
    </w:p>
    <w:p w14:paraId="02A01481" w14:textId="77777777" w:rsidR="00710994" w:rsidRPr="009A6D7F" w:rsidRDefault="00000000">
      <w:pPr>
        <w:rPr>
          <w:lang w:val="sk-SK"/>
        </w:rPr>
      </w:pPr>
      <w:r w:rsidRPr="009A6D7F">
        <w:rPr>
          <w:lang w:val="sk-SK"/>
        </w:rPr>
        <w:t>9.2 Poskytovateľ je oprávnený uchovať technické logy a prevádzkové záznamy v rozsahu vyžadovanom právnymi predpismi alebo internými retenčnými pravidlami, ktoré sú v súlade s právnymi predpismi. Na spracúvanie a uchovávanie takýchto záznamov sa primerane uplatnia zmluvné a zákonné povinnosti ochrany dôverných informácií a osobných údajov.</w:t>
      </w:r>
    </w:p>
    <w:sectPr w:rsidR="00710994" w:rsidRPr="009A6D7F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411287">
    <w:abstractNumId w:val="8"/>
  </w:num>
  <w:num w:numId="2" w16cid:durableId="636381137">
    <w:abstractNumId w:val="6"/>
  </w:num>
  <w:num w:numId="3" w16cid:durableId="146289130">
    <w:abstractNumId w:val="5"/>
  </w:num>
  <w:num w:numId="4" w16cid:durableId="1185512185">
    <w:abstractNumId w:val="4"/>
  </w:num>
  <w:num w:numId="5" w16cid:durableId="1688098863">
    <w:abstractNumId w:val="7"/>
  </w:num>
  <w:num w:numId="6" w16cid:durableId="2074111585">
    <w:abstractNumId w:val="3"/>
  </w:num>
  <w:num w:numId="7" w16cid:durableId="2009824311">
    <w:abstractNumId w:val="2"/>
  </w:num>
  <w:num w:numId="8" w16cid:durableId="1536771341">
    <w:abstractNumId w:val="1"/>
  </w:num>
  <w:num w:numId="9" w16cid:durableId="56619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457"/>
    <w:rsid w:val="00136E97"/>
    <w:rsid w:val="0015074B"/>
    <w:rsid w:val="0029639D"/>
    <w:rsid w:val="00326F90"/>
    <w:rsid w:val="003421FE"/>
    <w:rsid w:val="004138DE"/>
    <w:rsid w:val="0059439E"/>
    <w:rsid w:val="005B3114"/>
    <w:rsid w:val="00710994"/>
    <w:rsid w:val="00723134"/>
    <w:rsid w:val="009A6D7F"/>
    <w:rsid w:val="00AA1D8D"/>
    <w:rsid w:val="00AF2B03"/>
    <w:rsid w:val="00B47730"/>
    <w:rsid w:val="00B52311"/>
    <w:rsid w:val="00C9213B"/>
    <w:rsid w:val="00CB0664"/>
    <w:rsid w:val="00CB521B"/>
    <w:rsid w:val="00EE760A"/>
    <w:rsid w:val="00FC693F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88EDA"/>
  <w14:defaultImageDpi w14:val="300"/>
  <w15:docId w15:val="{DB3AFDC9-E20F-4910-8113-EEF143C9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3D60604E7094AA7D39FE3B841E79F" ma:contentTypeVersion="11" ma:contentTypeDescription="Umožňuje vytvoriť nový dokument." ma:contentTypeScope="" ma:versionID="89ddebbbd0d33644a616b6e0f5c2d453">
  <xsd:schema xmlns:xsd="http://www.w3.org/2001/XMLSchema" xmlns:xs="http://www.w3.org/2001/XMLSchema" xmlns:p="http://schemas.microsoft.com/office/2006/metadata/properties" xmlns:ns2="614459b5-adec-4762-8b27-c88501b28ec7" xmlns:ns3="3357a95e-15c3-4eae-9eab-f3579c454fa4" targetNamespace="http://schemas.microsoft.com/office/2006/metadata/properties" ma:root="true" ma:fieldsID="5c8218a330db3ca4b7f9bd344de83f11" ns2:_="" ns3:_="">
    <xsd:import namespace="614459b5-adec-4762-8b27-c88501b28ec7"/>
    <xsd:import namespace="3357a95e-15c3-4eae-9eab-f3579c45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459b5-adec-4762-8b27-c88501b28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a95e-15c3-4eae-9eab-f3579c454f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c927d-0b84-4f6e-bf2d-a0e746e6d662}" ma:internalName="TaxCatchAll" ma:showField="CatchAllData" ma:web="3357a95e-15c3-4eae-9eab-f3579c45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459b5-adec-4762-8b27-c88501b28ec7">
      <Terms xmlns="http://schemas.microsoft.com/office/infopath/2007/PartnerControls"/>
    </lcf76f155ced4ddcb4097134ff3c332f>
    <TaxCatchAll xmlns="3357a95e-15c3-4eae-9eab-f3579c454fa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D4242-9F0A-47EE-891F-9B0C86F5F4A2}"/>
</file>

<file path=customXml/itemProps3.xml><?xml version="1.0" encoding="utf-8"?>
<ds:datastoreItem xmlns:ds="http://schemas.openxmlformats.org/officeDocument/2006/customXml" ds:itemID="{988CBCD8-44C4-467D-B5F7-805D61D6988A}"/>
</file>

<file path=customXml/itemProps4.xml><?xml version="1.0" encoding="utf-8"?>
<ds:datastoreItem xmlns:ds="http://schemas.openxmlformats.org/officeDocument/2006/customXml" ds:itemID="{5BF0B6A1-172C-46A7-97D6-84B712767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1264</Words>
  <Characters>7208</Characters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2026-03-05T08:29:00Z</cp:lastPrinted>
  <dcterms:created xsi:type="dcterms:W3CDTF">2026-03-05T08:41:00Z</dcterms:created>
  <dcterms:modified xsi:type="dcterms:W3CDTF">2026-03-06T07:44:00Z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0x010100ED73D60604E7094AA7D39FE3B841E79F</vt:lpwstr>
  </property>
  <property fmtid="{D5CDD505-2E9C-101B-9397-08002B2CF9AE}" pid="3" name="MediaServiceImageTags">
    <vt:lpwstr/>
  </property>
</Properties>
</file>