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401A06"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3</w:t>
      </w:r>
      <w:r w:rsidR="00CB2E09">
        <w:rPr>
          <w:rFonts w:ascii="Times New Roman" w:hAnsi="Times New Roman"/>
          <w:b/>
          <w:bCs/>
          <w:sz w:val="24"/>
          <w:szCs w:val="32"/>
        </w:rPr>
        <w:t>4</w:t>
      </w:r>
      <w:r w:rsidR="00406D35" w:rsidRPr="00406D35">
        <w:rPr>
          <w:rFonts w:ascii="Times New Roman" w:hAnsi="Times New Roman"/>
          <w:b/>
          <w:bCs/>
          <w:sz w:val="24"/>
          <w:szCs w:val="32"/>
        </w:rPr>
        <w:t>/20</w:t>
      </w:r>
      <w:r w:rsidR="00AD6224">
        <w:rPr>
          <w:rFonts w:ascii="Times New Roman" w:hAnsi="Times New Roman"/>
          <w:b/>
          <w:bCs/>
          <w:sz w:val="24"/>
          <w:szCs w:val="32"/>
        </w:rPr>
        <w:t>20</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99461D">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CB2E09" w:rsidRPr="00CB2E09">
        <w:rPr>
          <w:rFonts w:ascii="Times New Roman" w:hAnsi="Times New Roman"/>
          <w:b/>
          <w:bCs/>
          <w:sz w:val="32"/>
          <w:szCs w:val="32"/>
        </w:rPr>
        <w:t>Most ev.č. 2836-2 Veselá</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2</w:t>
            </w:r>
            <w:r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2</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10</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11</w:t>
            </w:r>
            <w:r w:rsidR="00251681" w:rsidRPr="00C73EE3">
              <w:rPr>
                <w:rFonts w:ascii="Times New Roman" w:hAnsi="Times New Roman"/>
                <w:noProof/>
                <w:webHidden/>
                <w:sz w:val="24"/>
                <w:szCs w:val="24"/>
              </w:rPr>
              <w:fldChar w:fldCharType="end"/>
            </w:r>
          </w:hyperlink>
        </w:p>
        <w:p w:rsidR="00251681" w:rsidRPr="00C73EE3" w:rsidRDefault="000C5A52">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0749D">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9231D6" w:rsidRPr="00406D35" w:rsidRDefault="009231D6" w:rsidP="00AE3392">
      <w:pPr>
        <w:pStyle w:val="Nadpis1"/>
        <w:numPr>
          <w:ilvl w:val="0"/>
          <w:numId w:val="32"/>
        </w:numPr>
      </w:pPr>
      <w:bookmarkStart w:id="0" w:name="_Toc536085082"/>
      <w:r w:rsidRPr="00406D35">
        <w:t>Identifikační údaje veřejného zadavatele</w:t>
      </w:r>
      <w:bookmarkEnd w:id="0"/>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w:t>
      </w:r>
      <w:r w:rsidR="0099461D">
        <w:rPr>
          <w:rFonts w:ascii="Times New Roman" w:hAnsi="Times New Roman"/>
          <w:sz w:val="24"/>
        </w:rPr>
        <w:t xml:space="preserve"> </w:t>
      </w:r>
      <w:r w:rsidRPr="00406D35">
        <w:rPr>
          <w:rFonts w:ascii="Times New Roman" w:hAnsi="Times New Roman"/>
          <w:sz w:val="24"/>
        </w:rPr>
        <w:t>46</w:t>
      </w:r>
      <w:r w:rsidR="0099461D">
        <w:rPr>
          <w:rFonts w:ascii="Times New Roman" w:hAnsi="Times New Roman"/>
          <w:sz w:val="24"/>
        </w:rPr>
        <w:t xml:space="preserve"> </w:t>
      </w:r>
      <w:r w:rsidRPr="00406D35">
        <w:rPr>
          <w:rFonts w:ascii="Times New Roman" w:hAnsi="Times New Roman"/>
          <w:sz w:val="24"/>
        </w:rPr>
        <w:t>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1"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1"/>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lastRenderedPageBreak/>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2" w:name="_Toc536085084"/>
      <w:r w:rsidRPr="00AE3392">
        <w:rPr>
          <w:sz w:val="24"/>
        </w:rPr>
        <w:t xml:space="preserve">Průzkumy </w:t>
      </w:r>
      <w:r w:rsidR="008876E1" w:rsidRPr="00AE3392">
        <w:rPr>
          <w:sz w:val="24"/>
        </w:rPr>
        <w:t>a </w:t>
      </w:r>
      <w:r w:rsidRPr="00AE3392">
        <w:rPr>
          <w:sz w:val="24"/>
        </w:rPr>
        <w:t xml:space="preserve"> zaměření</w:t>
      </w:r>
      <w:bookmarkEnd w:id="2"/>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3" w:name="_Toc536085085"/>
      <w:r w:rsidRPr="00AE3392">
        <w:rPr>
          <w:sz w:val="24"/>
        </w:rPr>
        <w:t>Projektová dokumentace (D</w:t>
      </w:r>
      <w:r w:rsidR="00252639">
        <w:rPr>
          <w:sz w:val="24"/>
        </w:rPr>
        <w:t>U</w:t>
      </w:r>
      <w:r w:rsidRPr="00AE3392">
        <w:rPr>
          <w:sz w:val="24"/>
        </w:rPr>
        <w:t>SP/PDPS)</w:t>
      </w:r>
      <w:bookmarkEnd w:id="3"/>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4" w:name="_Toc349419425"/>
      <w:bookmarkStart w:id="5" w:name="_Toc536085086"/>
      <w:r w:rsidRPr="00AE3392">
        <w:rPr>
          <w:sz w:val="24"/>
        </w:rPr>
        <w:t xml:space="preserve">Inženýrská činnost </w:t>
      </w:r>
      <w:r w:rsidR="008876E1" w:rsidRPr="00AE3392">
        <w:rPr>
          <w:sz w:val="24"/>
        </w:rPr>
        <w:t>a </w:t>
      </w:r>
      <w:r w:rsidRPr="00AE3392">
        <w:rPr>
          <w:sz w:val="24"/>
        </w:rPr>
        <w:t xml:space="preserve"> </w:t>
      </w:r>
      <w:bookmarkEnd w:id="4"/>
      <w:r w:rsidR="009E6749" w:rsidRPr="00AE3392">
        <w:rPr>
          <w:sz w:val="24"/>
        </w:rPr>
        <w:t>zajištění povolení stavby</w:t>
      </w:r>
      <w:bookmarkEnd w:id="5"/>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6" w:name="_Toc536085087"/>
      <w:r w:rsidRPr="00AE3392">
        <w:rPr>
          <w:sz w:val="24"/>
        </w:rPr>
        <w:t>Autorský dozor během realizace akce</w:t>
      </w:r>
      <w:bookmarkEnd w:id="6"/>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7" w:name="_Toc536085088"/>
      <w:r w:rsidRPr="00AE3392">
        <w:t>Doba realizace</w:t>
      </w:r>
      <w:r w:rsidR="00FF6D57" w:rsidRPr="00AE3392">
        <w:t xml:space="preserve"> zakázky</w:t>
      </w:r>
      <w:bookmarkEnd w:id="7"/>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99461D">
            <w:pPr>
              <w:spacing w:after="0" w:line="240" w:lineRule="auto"/>
              <w:rPr>
                <w:rFonts w:ascii="Times New Roman" w:hAnsi="Times New Roman"/>
                <w:sz w:val="24"/>
              </w:rPr>
            </w:pPr>
            <w:r w:rsidRPr="00406D35">
              <w:rPr>
                <w:rFonts w:ascii="Times New Roman" w:hAnsi="Times New Roman"/>
                <w:sz w:val="24"/>
              </w:rPr>
              <w:t xml:space="preserve">do </w:t>
            </w:r>
            <w:r w:rsidR="0099461D">
              <w:rPr>
                <w:rFonts w:ascii="Times New Roman" w:hAnsi="Times New Roman"/>
                <w:sz w:val="24"/>
              </w:rPr>
              <w:t>90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401A06">
            <w:pPr>
              <w:spacing w:after="0" w:line="240" w:lineRule="auto"/>
              <w:rPr>
                <w:rFonts w:ascii="Times New Roman" w:hAnsi="Times New Roman"/>
                <w:sz w:val="24"/>
              </w:rPr>
            </w:pPr>
            <w:r w:rsidRPr="00406D35">
              <w:rPr>
                <w:rFonts w:ascii="Times New Roman" w:hAnsi="Times New Roman"/>
                <w:sz w:val="24"/>
              </w:rPr>
              <w:t xml:space="preserve">do </w:t>
            </w:r>
            <w:r w:rsidR="0099461D">
              <w:rPr>
                <w:rFonts w:ascii="Times New Roman" w:hAnsi="Times New Roman"/>
                <w:sz w:val="24"/>
              </w:rPr>
              <w:t>2</w:t>
            </w:r>
            <w:r w:rsidR="00401A06">
              <w:rPr>
                <w:rFonts w:ascii="Times New Roman" w:hAnsi="Times New Roman"/>
                <w:sz w:val="24"/>
              </w:rPr>
              <w:t>90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401A06">
            <w:pPr>
              <w:spacing w:after="0" w:line="240" w:lineRule="auto"/>
              <w:rPr>
                <w:rFonts w:ascii="Times New Roman" w:hAnsi="Times New Roman"/>
                <w:sz w:val="24"/>
              </w:rPr>
            </w:pPr>
            <w:r w:rsidRPr="00406D35">
              <w:rPr>
                <w:rFonts w:ascii="Times New Roman" w:hAnsi="Times New Roman"/>
                <w:sz w:val="24"/>
              </w:rPr>
              <w:t xml:space="preserve">do </w:t>
            </w:r>
            <w:r w:rsidR="00401A06">
              <w:rPr>
                <w:rFonts w:ascii="Times New Roman" w:hAnsi="Times New Roman"/>
                <w:sz w:val="24"/>
              </w:rPr>
              <w:t>320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252639" w:rsidP="001C6BCC">
            <w:pPr>
              <w:spacing w:after="0" w:line="240" w:lineRule="auto"/>
              <w:rPr>
                <w:rFonts w:ascii="Times New Roman" w:hAnsi="Times New Roman"/>
                <w:sz w:val="24"/>
              </w:rPr>
            </w:pPr>
            <w:r>
              <w:rPr>
                <w:rFonts w:ascii="Times New Roman" w:hAnsi="Times New Roman"/>
                <w:sz w:val="24"/>
              </w:rPr>
              <w:t>ve lhůtách správních orgánů</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00713D">
            <w:pPr>
              <w:spacing w:after="0" w:line="240" w:lineRule="auto"/>
              <w:rPr>
                <w:rFonts w:ascii="Times New Roman" w:hAnsi="Times New Roman"/>
                <w:sz w:val="24"/>
              </w:rPr>
            </w:pPr>
            <w:r w:rsidRPr="00406D35">
              <w:rPr>
                <w:rFonts w:ascii="Times New Roman" w:hAnsi="Times New Roman"/>
                <w:sz w:val="24"/>
              </w:rPr>
              <w:t>po celou dobu zadávacího řízení na realizac</w:t>
            </w:r>
            <w:r w:rsidR="0000713D">
              <w:rPr>
                <w:rFonts w:ascii="Times New Roman" w:hAnsi="Times New Roman"/>
                <w:sz w:val="24"/>
              </w:rPr>
              <w:t>i</w:t>
            </w:r>
            <w:r w:rsidRPr="00406D35">
              <w:rPr>
                <w:rFonts w:ascii="Times New Roman" w:hAnsi="Times New Roman"/>
                <w:sz w:val="24"/>
              </w:rPr>
              <w:t xml:space="preserv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8" w:name="_Toc536085089"/>
      <w:r w:rsidRPr="00AE3392">
        <w:lastRenderedPageBreak/>
        <w:t>P</w:t>
      </w:r>
      <w:r w:rsidR="003A6AD1" w:rsidRPr="00AE3392">
        <w:t xml:space="preserve">ředpokládaná hodnota </w:t>
      </w:r>
      <w:r w:rsidR="00723A7F" w:rsidRPr="00AE3392">
        <w:t>veřejné zakázky</w:t>
      </w:r>
      <w:bookmarkEnd w:id="8"/>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CB2E09">
        <w:rPr>
          <w:b/>
          <w:sz w:val="24"/>
          <w:szCs w:val="22"/>
        </w:rPr>
        <w:t>420.461</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9" w:name="_Toc536085090"/>
      <w:r w:rsidRPr="00AE3392">
        <w:t xml:space="preserve">Místo plnění </w:t>
      </w:r>
      <w:r w:rsidR="008876E1" w:rsidRPr="00AE3392">
        <w:t>a </w:t>
      </w:r>
      <w:r w:rsidRPr="00AE3392">
        <w:t xml:space="preserve"> prohlídka místa plnění</w:t>
      </w:r>
      <w:bookmarkEnd w:id="9"/>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0"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0"/>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1"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1"/>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401A06">
        <w:rPr>
          <w:rFonts w:ascii="Times New Roman" w:eastAsia="Times New Roman" w:hAnsi="Times New Roman"/>
          <w:b/>
          <w:bCs/>
          <w:sz w:val="24"/>
          <w:lang w:eastAsia="cs-CZ"/>
        </w:rPr>
        <w:t>23</w:t>
      </w:r>
      <w:r w:rsidR="005B0207" w:rsidRPr="00406D35">
        <w:rPr>
          <w:rFonts w:ascii="Times New Roman" w:eastAsia="Times New Roman" w:hAnsi="Times New Roman"/>
          <w:b/>
          <w:bCs/>
          <w:sz w:val="24"/>
          <w:lang w:eastAsia="cs-CZ"/>
        </w:rPr>
        <w:t xml:space="preserve">. </w:t>
      </w:r>
      <w:r w:rsidR="00401A06">
        <w:rPr>
          <w:rFonts w:ascii="Times New Roman" w:eastAsia="Times New Roman" w:hAnsi="Times New Roman"/>
          <w:b/>
          <w:bCs/>
          <w:sz w:val="24"/>
          <w:lang w:eastAsia="cs-CZ"/>
        </w:rPr>
        <w:t>7</w:t>
      </w:r>
      <w:r w:rsidR="005B0207" w:rsidRPr="00406D35">
        <w:rPr>
          <w:rFonts w:ascii="Times New Roman" w:eastAsia="Times New Roman" w:hAnsi="Times New Roman"/>
          <w:b/>
          <w:bCs/>
          <w:sz w:val="24"/>
          <w:lang w:eastAsia="cs-CZ"/>
        </w:rPr>
        <w:t>. 20</w:t>
      </w:r>
      <w:r w:rsidR="0099461D">
        <w:rPr>
          <w:rFonts w:ascii="Times New Roman" w:eastAsia="Times New Roman" w:hAnsi="Times New Roman"/>
          <w:b/>
          <w:bCs/>
          <w:sz w:val="24"/>
          <w:lang w:eastAsia="cs-CZ"/>
        </w:rPr>
        <w:t>20</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B0749D">
        <w:rPr>
          <w:rFonts w:ascii="Times New Roman" w:hAnsi="Times New Roman"/>
          <w:b/>
          <w:sz w:val="24"/>
        </w:rPr>
        <w:t>9</w:t>
      </w:r>
      <w:r w:rsidR="00F52724" w:rsidRPr="00406D35">
        <w:rPr>
          <w:rFonts w:ascii="Times New Roman" w:hAnsi="Times New Roman"/>
          <w:b/>
          <w:sz w:val="24"/>
        </w:rPr>
        <w:t>:</w:t>
      </w:r>
      <w:r w:rsidR="00CB2E09">
        <w:rPr>
          <w:rFonts w:ascii="Times New Roman" w:hAnsi="Times New Roman"/>
          <w:b/>
          <w:sz w:val="24"/>
        </w:rPr>
        <w:t>00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lastRenderedPageBreak/>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w:t>
      </w:r>
      <w:r w:rsidR="0099461D">
        <w:rPr>
          <w:rFonts w:ascii="Times New Roman" w:hAnsi="Times New Roman"/>
          <w:sz w:val="24"/>
        </w:rPr>
        <w:t>4</w:t>
      </w:r>
      <w:r w:rsidRPr="00406D35">
        <w:rPr>
          <w:rFonts w:ascii="Times New Roman" w:hAnsi="Times New Roman"/>
          <w:sz w:val="24"/>
        </w:rPr>
        <w:t xml:space="preserve"> </w:t>
      </w:r>
      <w:r w:rsidR="0099461D">
        <w:rPr>
          <w:rFonts w:ascii="Times New Roman" w:hAnsi="Times New Roman"/>
          <w:sz w:val="24"/>
        </w:rPr>
        <w:t>809</w:t>
      </w:r>
      <w:r w:rsidR="00585B9A">
        <w:rPr>
          <w:rFonts w:ascii="Times New Roman" w:hAnsi="Times New Roman"/>
          <w:sz w:val="24"/>
        </w:rPr>
        <w:t> </w:t>
      </w:r>
      <w:r w:rsidR="0099461D">
        <w:rPr>
          <w:rFonts w:ascii="Times New Roman" w:hAnsi="Times New Roman"/>
          <w:sz w:val="24"/>
        </w:rPr>
        <w:t>114</w:t>
      </w:r>
      <w:r w:rsidR="00585B9A">
        <w:rPr>
          <w:rFonts w:ascii="Times New Roman" w:hAnsi="Times New Roman"/>
          <w:sz w:val="24"/>
        </w:rPr>
        <w:t xml:space="preserve">,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2" w:name="_Toc536085093"/>
      <w:r w:rsidRPr="00AE3392">
        <w:t xml:space="preserve">Požadavky na </w:t>
      </w:r>
      <w:r w:rsidR="00221F78" w:rsidRPr="00AE3392">
        <w:t>prokázání splnění kvalifikace</w:t>
      </w:r>
      <w:bookmarkEnd w:id="12"/>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3" w:name="_Toc536085094"/>
      <w:r w:rsidR="009B1DCF" w:rsidRPr="00AE3392">
        <w:rPr>
          <w:sz w:val="24"/>
        </w:rPr>
        <w:t>Základní způsobilost</w:t>
      </w:r>
      <w:bookmarkEnd w:id="13"/>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4" w:name="_Toc536085095"/>
      <w:r w:rsidRPr="00AE3392">
        <w:rPr>
          <w:sz w:val="24"/>
        </w:rPr>
        <w:t>Profesní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lastRenderedPageBreak/>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9461D" w:rsidRPr="00406D35" w:rsidRDefault="0099461D" w:rsidP="0099461D">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Pr>
          <w:rFonts w:ascii="Times New Roman" w:hAnsi="Times New Roman"/>
          <w:sz w:val="24"/>
        </w:rPr>
        <w:t>u</w:t>
      </w:r>
      <w:r w:rsidRPr="00406D35">
        <w:rPr>
          <w:rFonts w:ascii="Times New Roman" w:hAnsi="Times New Roman"/>
          <w:sz w:val="24"/>
        </w:rPr>
        <w:t xml:space="preserve"> o  tom, že je odborně způsobilý nebo disponuje osobou, jejímž prostřednictvím odbornou způsobilost zabezpečuje, a  to konkrétně osvědčení o  autorizaci dle zákona č. 360/1992 Sb., o  výkonu povolání autorizovaných architektů a  o  výkonu autorizovaných inženýrů a  techniků činných ve výstavbě, ve znění pozdějších předpisů, a  sice:</w:t>
      </w:r>
    </w:p>
    <w:p w:rsidR="0099461D" w:rsidRDefault="0099461D" w:rsidP="0099461D">
      <w:pPr>
        <w:autoSpaceDE w:val="0"/>
        <w:autoSpaceDN w:val="0"/>
        <w:adjustRightInd w:val="0"/>
        <w:spacing w:after="120" w:line="240" w:lineRule="auto"/>
        <w:jc w:val="both"/>
        <w:rPr>
          <w:rFonts w:ascii="Times New Roman" w:hAnsi="Times New Roman"/>
          <w:sz w:val="24"/>
        </w:rPr>
      </w:pPr>
      <w:bookmarkStart w:id="15" w:name="_Hlk505330901"/>
      <w:r w:rsidRPr="00C36EA2">
        <w:rPr>
          <w:rFonts w:ascii="Times New Roman" w:hAnsi="Times New Roman"/>
          <w:sz w:val="24"/>
        </w:rPr>
        <w:t xml:space="preserve">osvědčení autorizovaného inženýra pro </w:t>
      </w:r>
      <w:r w:rsidRPr="000841B5">
        <w:rPr>
          <w:rFonts w:ascii="Times New Roman" w:hAnsi="Times New Roman"/>
          <w:sz w:val="24"/>
        </w:rPr>
        <w:t>obor mosty a inženýrské konstrukce</w:t>
      </w:r>
      <w:r w:rsidRPr="00C36EA2">
        <w:rPr>
          <w:rFonts w:ascii="Times New Roman" w:hAnsi="Times New Roman"/>
          <w:bCs/>
          <w:sz w:val="24"/>
        </w:rPr>
        <w:t xml:space="preserve"> </w:t>
      </w:r>
      <w:r w:rsidRPr="00C36EA2">
        <w:rPr>
          <w:rFonts w:ascii="Times New Roman" w:hAnsi="Times New Roman"/>
          <w:sz w:val="24"/>
        </w:rPr>
        <w:t>(zadavatel upozorňuje, že je-li prokazováno jinou osobou než účastníkem, či zaměstnancem účastníka, je taková osoba jinou osobou ve smyslu § 83 zákona).</w:t>
      </w:r>
      <w:bookmarkEnd w:id="15"/>
    </w:p>
    <w:p w:rsidR="005C7C1A" w:rsidRPr="00406D35" w:rsidRDefault="006C30B6" w:rsidP="0099461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6"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F76CA1" w:rsidRPr="0000713D" w:rsidRDefault="006A2309" w:rsidP="0000713D">
      <w:pPr>
        <w:pStyle w:val="Odstavecseseznamem"/>
        <w:numPr>
          <w:ilvl w:val="0"/>
          <w:numId w:val="18"/>
        </w:numPr>
        <w:spacing w:after="0" w:line="240" w:lineRule="auto"/>
        <w:contextualSpacing w:val="0"/>
        <w:jc w:val="both"/>
        <w:rPr>
          <w:rFonts w:ascii="Times New Roman" w:hAnsi="Times New Roman"/>
          <w:sz w:val="24"/>
        </w:rPr>
      </w:pPr>
      <w:r w:rsidRPr="0000713D">
        <w:rPr>
          <w:rFonts w:ascii="Times New Roman" w:hAnsi="Times New Roman"/>
          <w:sz w:val="24"/>
        </w:rPr>
        <w:t xml:space="preserve">min. </w:t>
      </w:r>
      <w:r w:rsidR="0052097A">
        <w:rPr>
          <w:rFonts w:ascii="Times New Roman" w:hAnsi="Times New Roman"/>
          <w:sz w:val="24"/>
        </w:rPr>
        <w:t>3</w:t>
      </w:r>
      <w:r w:rsidRPr="0000713D">
        <w:rPr>
          <w:rFonts w:ascii="Times New Roman" w:hAnsi="Times New Roman"/>
          <w:sz w:val="24"/>
        </w:rPr>
        <w:t xml:space="preserve"> služb</w:t>
      </w:r>
      <w:r w:rsidR="0000713D">
        <w:rPr>
          <w:rFonts w:ascii="Times New Roman" w:hAnsi="Times New Roman"/>
          <w:sz w:val="24"/>
        </w:rPr>
        <w:t>y</w:t>
      </w:r>
      <w:r w:rsidRPr="0000713D">
        <w:rPr>
          <w:rFonts w:ascii="Times New Roman" w:hAnsi="Times New Roman"/>
          <w:sz w:val="24"/>
        </w:rPr>
        <w:t xml:space="preserve"> na zpracování projektové dokumentace pro rekonstrukci nebo opravu nebo novostavbu </w:t>
      </w:r>
      <w:r w:rsidR="0099461D">
        <w:rPr>
          <w:rFonts w:ascii="Times New Roman" w:hAnsi="Times New Roman"/>
          <w:sz w:val="24"/>
        </w:rPr>
        <w:t>mostu</w:t>
      </w:r>
      <w:r w:rsidRPr="0000713D">
        <w:rPr>
          <w:rFonts w:ascii="Times New Roman" w:hAnsi="Times New Roman"/>
          <w:sz w:val="24"/>
        </w:rPr>
        <w:t xml:space="preserve">, s minimální hodnotou </w:t>
      </w:r>
      <w:r w:rsidR="0000713D">
        <w:rPr>
          <w:rFonts w:ascii="Times New Roman" w:hAnsi="Times New Roman"/>
          <w:sz w:val="24"/>
        </w:rPr>
        <w:t>jednotlivé</w:t>
      </w:r>
      <w:r w:rsidRPr="0000713D">
        <w:rPr>
          <w:rFonts w:ascii="Times New Roman" w:hAnsi="Times New Roman"/>
          <w:sz w:val="24"/>
        </w:rPr>
        <w:t xml:space="preserve"> služby ve výši </w:t>
      </w:r>
      <w:r w:rsidR="008D64F8">
        <w:rPr>
          <w:rFonts w:ascii="Times New Roman" w:hAnsi="Times New Roman"/>
          <w:sz w:val="24"/>
        </w:rPr>
        <w:t>3</w:t>
      </w:r>
      <w:r w:rsidR="001E1C0B">
        <w:rPr>
          <w:rFonts w:ascii="Times New Roman" w:hAnsi="Times New Roman"/>
          <w:sz w:val="24"/>
        </w:rPr>
        <w:t>2</w:t>
      </w:r>
      <w:r w:rsidR="0099461D">
        <w:rPr>
          <w:rFonts w:ascii="Times New Roman" w:hAnsi="Times New Roman"/>
          <w:sz w:val="24"/>
        </w:rPr>
        <w:t>0.000</w:t>
      </w:r>
      <w:r w:rsidR="0000713D" w:rsidRPr="0000713D">
        <w:rPr>
          <w:rFonts w:ascii="Times New Roman" w:hAnsi="Times New Roman"/>
          <w:sz w:val="24"/>
        </w:rPr>
        <w:t xml:space="preserve"> Kč bez DPH</w:t>
      </w:r>
      <w:r w:rsidR="0000713D">
        <w:rPr>
          <w:rFonts w:ascii="Times New Roman" w:hAnsi="Times New Roman"/>
          <w:sz w:val="24"/>
        </w:rPr>
        <w:t>.</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7"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7"/>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6"/>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lastRenderedPageBreak/>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8"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8"/>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19"/>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0" w:name="_Toc536085099"/>
      <w:r w:rsidRPr="00AE3392">
        <w:rPr>
          <w:sz w:val="24"/>
        </w:rPr>
        <w:t>Prokazování kvalifikace prostřednictvím jednotného evropského osvědčení</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1" w:name="_Toc536085100"/>
      <w:r w:rsidRPr="00AE3392">
        <w:rPr>
          <w:sz w:val="24"/>
        </w:rPr>
        <w:t xml:space="preserve">Pravost </w:t>
      </w:r>
      <w:r w:rsidR="008876E1" w:rsidRPr="00AE3392">
        <w:rPr>
          <w:sz w:val="24"/>
        </w:rPr>
        <w:t>a </w:t>
      </w:r>
      <w:r w:rsidRPr="00AE3392">
        <w:rPr>
          <w:sz w:val="24"/>
        </w:rPr>
        <w:t xml:space="preserve"> stáří dokladů</w:t>
      </w:r>
      <w:bookmarkEnd w:id="21"/>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lastRenderedPageBreak/>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2"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2"/>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3"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3"/>
      <w:r w:rsidRPr="00AE3392">
        <w:t xml:space="preserve"> </w:t>
      </w:r>
    </w:p>
    <w:p w:rsidR="004010E0" w:rsidRPr="00AE3392" w:rsidRDefault="004010E0" w:rsidP="00AE3392">
      <w:pPr>
        <w:pStyle w:val="Nadpis1"/>
        <w:numPr>
          <w:ilvl w:val="1"/>
          <w:numId w:val="32"/>
        </w:numPr>
        <w:rPr>
          <w:sz w:val="24"/>
        </w:rPr>
      </w:pPr>
      <w:bookmarkStart w:id="24" w:name="_Toc536085103"/>
      <w:r w:rsidRPr="00AE3392">
        <w:rPr>
          <w:sz w:val="24"/>
        </w:rPr>
        <w:t>Požadavky na způsob zpracování nabídkové ceny</w:t>
      </w:r>
      <w:bookmarkEnd w:id="24"/>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w:t>
      </w:r>
      <w:r w:rsidRPr="00406D35">
        <w:rPr>
          <w:rFonts w:ascii="Times New Roman" w:hAnsi="Times New Roman"/>
          <w:sz w:val="24"/>
        </w:rPr>
        <w:lastRenderedPageBreak/>
        <w:t xml:space="preserve">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5"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5"/>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6" w:name="_Toc536085104"/>
      <w:r w:rsidRPr="00AE3392">
        <w:rPr>
          <w:sz w:val="24"/>
        </w:rPr>
        <w:lastRenderedPageBreak/>
        <w:t>Požadavky na způsob zpracování nabídky</w:t>
      </w:r>
      <w:bookmarkEnd w:id="26"/>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7" w:name="_Toc536085105"/>
      <w:r w:rsidRPr="00AE3392">
        <w:t>Způsob hodnocení nabídek</w:t>
      </w:r>
      <w:bookmarkEnd w:id="27"/>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00713D">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00713D">
        <w:rPr>
          <w:rFonts w:ascii="Times New Roman" w:hAnsi="Times New Roman"/>
          <w:bCs/>
          <w:sz w:val="24"/>
        </w:rPr>
        <w:t>následujících</w:t>
      </w:r>
      <w:r w:rsidRPr="00406D35">
        <w:rPr>
          <w:rFonts w:ascii="Times New Roman" w:hAnsi="Times New Roman"/>
          <w:bCs/>
          <w:sz w:val="24"/>
        </w:rPr>
        <w:t xml:space="preserve"> subkritérií:</w:t>
      </w:r>
    </w:p>
    <w:p w:rsidR="0056285F" w:rsidRPr="00AE3392" w:rsidRDefault="0056285F" w:rsidP="00AE3392">
      <w:pPr>
        <w:pStyle w:val="Nadpis1"/>
        <w:numPr>
          <w:ilvl w:val="1"/>
          <w:numId w:val="32"/>
        </w:numPr>
        <w:rPr>
          <w:sz w:val="24"/>
        </w:rPr>
      </w:pPr>
      <w:bookmarkStart w:id="28"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252639">
        <w:rPr>
          <w:sz w:val="24"/>
        </w:rPr>
        <w:t xml:space="preserve"> </w:t>
      </w:r>
      <w:r w:rsidRPr="00AE3392">
        <w:rPr>
          <w:sz w:val="24"/>
        </w:rPr>
        <w:t>%</w:t>
      </w:r>
      <w:bookmarkEnd w:id="28"/>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99461D" w:rsidRPr="0099461D" w:rsidRDefault="0099461D" w:rsidP="0099461D">
      <w:pPr>
        <w:pStyle w:val="Nadpis1"/>
        <w:numPr>
          <w:ilvl w:val="1"/>
          <w:numId w:val="32"/>
        </w:numPr>
        <w:rPr>
          <w:sz w:val="24"/>
        </w:rPr>
      </w:pPr>
      <w:bookmarkStart w:id="29" w:name="_Toc3531421"/>
      <w:r w:rsidRPr="0099461D">
        <w:rPr>
          <w:sz w:val="24"/>
        </w:rPr>
        <w:t>Délka praxe autorizované osoby: mosty a inženýrské konstrukce: váha dílčího kritéria: 10 %</w:t>
      </w:r>
      <w:bookmarkEnd w:id="29"/>
      <w:r w:rsidRPr="0099461D">
        <w:rPr>
          <w:sz w:val="24"/>
        </w:rPr>
        <w:t xml:space="preserve"> </w:t>
      </w:r>
    </w:p>
    <w:p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Druhým dílčím kritériem pro hodnocení nabídky je počet měsíců relevantní odborné praxe osoby, kterou účastník prokazuje profesní způsobilost dle § 77 odst. 2  písm. c) zákona: Autorizovaný inženýr nebo autorizovaný technik pro obor mosty a inženýrské konstrukce. </w:t>
      </w:r>
    </w:p>
    <w:p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lastRenderedPageBreak/>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0"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A74C2D" w:rsidRPr="00251681" w:rsidRDefault="00A74C2D" w:rsidP="006A2309">
      <w:pPr>
        <w:pStyle w:val="Nadpis1"/>
        <w:numPr>
          <w:ilvl w:val="1"/>
          <w:numId w:val="32"/>
        </w:numPr>
        <w:jc w:val="both"/>
        <w:rPr>
          <w:sz w:val="24"/>
        </w:rPr>
      </w:pPr>
      <w:bookmarkStart w:id="31" w:name="_Toc536085108"/>
      <w:bookmarkEnd w:id="30"/>
      <w:r w:rsidRPr="00251681">
        <w:rPr>
          <w:sz w:val="24"/>
        </w:rPr>
        <w:t>Způsob celkového hodnocení</w:t>
      </w:r>
      <w:bookmarkEnd w:id="31"/>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2"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2"/>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3" w:name="_Toc318801848"/>
      <w:bookmarkStart w:id="34" w:name="_Toc298755012"/>
      <w:bookmarkStart w:id="35"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3"/>
      <w:bookmarkEnd w:id="34"/>
      <w:bookmarkEnd w:id="35"/>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lastRenderedPageBreak/>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6" w:name="_Toc536085110"/>
      <w:r w:rsidRPr="00251681">
        <w:t>Přílohy</w:t>
      </w:r>
      <w:bookmarkEnd w:id="36"/>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9461D" w:rsidRDefault="0099461D" w:rsidP="00D239D8">
      <w:pPr>
        <w:autoSpaceDE w:val="0"/>
        <w:autoSpaceDN w:val="0"/>
        <w:adjustRightInd w:val="0"/>
        <w:spacing w:after="0" w:line="240" w:lineRule="auto"/>
        <w:jc w:val="both"/>
        <w:rPr>
          <w:rFonts w:ascii="Times New Roman" w:hAnsi="Times New Roman"/>
          <w:color w:val="000000"/>
          <w:sz w:val="24"/>
          <w:szCs w:val="24"/>
        </w:rPr>
      </w:pPr>
    </w:p>
    <w:p w:rsidR="009231D6" w:rsidRPr="00406D35" w:rsidRDefault="0099461D" w:rsidP="00D239D8">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Liberec</w:t>
      </w:r>
      <w:r w:rsidR="00751B17" w:rsidRPr="00406D35">
        <w:rPr>
          <w:rFonts w:ascii="Times New Roman" w:hAnsi="Times New Roman"/>
          <w:sz w:val="24"/>
          <w:szCs w:val="24"/>
        </w:rPr>
        <w:t xml:space="preserve"> </w:t>
      </w:r>
      <w:r w:rsidR="00401A06">
        <w:rPr>
          <w:rFonts w:ascii="Times New Roman" w:hAnsi="Times New Roman"/>
          <w:sz w:val="24"/>
          <w:szCs w:val="24"/>
        </w:rPr>
        <w:t>8</w:t>
      </w:r>
      <w:r w:rsidR="000841B5">
        <w:rPr>
          <w:rFonts w:ascii="Times New Roman" w:hAnsi="Times New Roman"/>
          <w:sz w:val="24"/>
          <w:szCs w:val="24"/>
        </w:rPr>
        <w:t>.</w:t>
      </w:r>
      <w:r w:rsidR="00BA3AD9" w:rsidRPr="00406D35">
        <w:rPr>
          <w:rFonts w:ascii="Times New Roman" w:hAnsi="Times New Roman"/>
          <w:sz w:val="24"/>
          <w:szCs w:val="24"/>
        </w:rPr>
        <w:t xml:space="preserve"> </w:t>
      </w:r>
      <w:r w:rsidR="00401A06">
        <w:rPr>
          <w:rFonts w:ascii="Times New Roman" w:hAnsi="Times New Roman"/>
          <w:sz w:val="24"/>
          <w:szCs w:val="24"/>
        </w:rPr>
        <w:t>7</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w:t>
      </w:r>
      <w:r>
        <w:rPr>
          <w:rFonts w:ascii="Times New Roman" w:hAnsi="Times New Roman"/>
          <w:sz w:val="24"/>
          <w:szCs w:val="24"/>
        </w:rPr>
        <w:t>20</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0749D" w:rsidRDefault="00B0749D" w:rsidP="00B0749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Ing. </w:t>
      </w:r>
      <w:r w:rsidR="00C76B04">
        <w:rPr>
          <w:rFonts w:ascii="Times New Roman" w:hAnsi="Times New Roman"/>
          <w:color w:val="000000"/>
          <w:sz w:val="24"/>
          <w:szCs w:val="24"/>
        </w:rPr>
        <w:t>Jan Růžička</w:t>
      </w:r>
    </w:p>
    <w:p w:rsidR="00B6038D" w:rsidRPr="00406D35" w:rsidRDefault="00C76B04" w:rsidP="006A5DAB">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5A52" w:rsidRDefault="000C5A52" w:rsidP="005343A3">
      <w:pPr>
        <w:spacing w:after="0" w:line="240" w:lineRule="auto"/>
      </w:pPr>
      <w:r>
        <w:separator/>
      </w:r>
    </w:p>
  </w:endnote>
  <w:endnote w:type="continuationSeparator" w:id="0">
    <w:p w:rsidR="000C5A52" w:rsidRDefault="000C5A52" w:rsidP="005343A3">
      <w:pPr>
        <w:spacing w:after="0" w:line="240" w:lineRule="auto"/>
      </w:pPr>
      <w:r>
        <w:continuationSeparator/>
      </w:r>
    </w:p>
  </w:endnote>
  <w:endnote w:type="continuationNotice" w:id="1">
    <w:p w:rsidR="000C5A52" w:rsidRDefault="000C5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143ADB">
      <w:rPr>
        <w:rFonts w:ascii="Times New Roman" w:hAnsi="Times New Roman"/>
        <w:noProof/>
        <w:sz w:val="18"/>
        <w:szCs w:val="18"/>
      </w:rPr>
      <w:t>6</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5A52" w:rsidRDefault="000C5A52" w:rsidP="005343A3">
      <w:pPr>
        <w:spacing w:after="0" w:line="240" w:lineRule="auto"/>
      </w:pPr>
      <w:r>
        <w:separator/>
      </w:r>
    </w:p>
  </w:footnote>
  <w:footnote w:type="continuationSeparator" w:id="0">
    <w:p w:rsidR="000C5A52" w:rsidRDefault="000C5A52" w:rsidP="005343A3">
      <w:pPr>
        <w:spacing w:after="0" w:line="240" w:lineRule="auto"/>
      </w:pPr>
      <w:r>
        <w:continuationSeparator/>
      </w:r>
    </w:p>
  </w:footnote>
  <w:footnote w:type="continuationNotice" w:id="1">
    <w:p w:rsidR="000C5A52" w:rsidRDefault="000C5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15E2" w:rsidRDefault="007415E2">
    <w:pPr>
      <w:pStyle w:val="Zhlav"/>
    </w:pPr>
    <w:r>
      <w:rPr>
        <w:noProof/>
        <w:lang w:eastAsia="cs-CZ"/>
      </w:rPr>
      <w:drawing>
        <wp:anchor distT="0" distB="0" distL="114300" distR="114300" simplePos="0" relativeHeight="251659264" behindDoc="0" locked="0" layoutInCell="1" allowOverlap="1" wp14:anchorId="137E1740" wp14:editId="674EA460">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13D"/>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A5EF5"/>
    <w:rsid w:val="000B10F3"/>
    <w:rsid w:val="000B1E72"/>
    <w:rsid w:val="000B4747"/>
    <w:rsid w:val="000B52B2"/>
    <w:rsid w:val="000B65CC"/>
    <w:rsid w:val="000B79F2"/>
    <w:rsid w:val="000C1EC2"/>
    <w:rsid w:val="000C48BA"/>
    <w:rsid w:val="000C4B42"/>
    <w:rsid w:val="000C5A5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3C6C"/>
    <w:rsid w:val="00105444"/>
    <w:rsid w:val="00107AEC"/>
    <w:rsid w:val="00107FF6"/>
    <w:rsid w:val="00110045"/>
    <w:rsid w:val="00110BF2"/>
    <w:rsid w:val="001111C4"/>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3ADB"/>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1C0B"/>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184"/>
    <w:rsid w:val="00251681"/>
    <w:rsid w:val="00252425"/>
    <w:rsid w:val="00252639"/>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1A06"/>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C535C"/>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097A"/>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D7E89"/>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0C4"/>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8C2"/>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D64F8"/>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1C1"/>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4CF"/>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461D"/>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17CF9"/>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443F"/>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224"/>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0749D"/>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6B04"/>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B2E09"/>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967"/>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4615"/>
    <w:rsid w:val="00ED79AB"/>
    <w:rsid w:val="00EE08C6"/>
    <w:rsid w:val="00EE17A6"/>
    <w:rsid w:val="00EE28A2"/>
    <w:rsid w:val="00EE4A7A"/>
    <w:rsid w:val="00EE55FC"/>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5335"/>
    <w:rsid w:val="00FC685B"/>
    <w:rsid w:val="00FD0D08"/>
    <w:rsid w:val="00FD169F"/>
    <w:rsid w:val="00FD3AF6"/>
    <w:rsid w:val="00FD40DB"/>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6B43C"/>
  <w15:docId w15:val="{CBB1C0E4-BB68-432C-8567-D6972D13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 w:id="13457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oOQFLNVo6hLR8CtcZ0ti4f+j8881+IN8AqXm5Nf9wLk=</DigestValue>
    </Reference>
    <Reference Type="http://www.w3.org/2000/09/xmldsig#Object" URI="#idOfficeObject">
      <DigestMethod Algorithm="http://www.w3.org/2001/04/xmlenc#sha256"/>
      <DigestValue>gKTUBaGxWMWtd0cfwQGfmIZMDEK1rFZX4DL93XqIpwg=</DigestValue>
    </Reference>
    <Reference Type="http://uri.etsi.org/01903#SignedProperties" URI="#idSignedProperties">
      <Transforms>
        <Transform Algorithm="http://www.w3.org/TR/2001/REC-xml-c14n-20010315"/>
      </Transforms>
      <DigestMethod Algorithm="http://www.w3.org/2001/04/xmlenc#sha256"/>
      <DigestValue>kpzNt/KKKd+KHRbyBRoCB2wj1a3OwkWpH7Hdwv59Mgc=</DigestValue>
    </Reference>
  </SignedInfo>
  <SignatureValue>B4Hn5QK4yvVdJPgmoGOL4zPXSrW6H4jfFibEn0e1VHLsK0OFVtAbC1kc0IbYziyNQLe4Uvpp2HuP
vpXEX/TJplUHtJajvP7K5whF+tjmIgKD6RalIYpuUiCV7tbeFn231N+liRNkbPS7dzOEJxxm2hy9
gMRH/6yrB/C8yYXGY4M3A2PvKqc/2GlBJWcDKb4YOgob2I1sQUt7mIQA/SWQCyAFICi7SUIZfOtq
G9HMY+Pi7AANxhVkzeQuNKTxAO8rHpQjJ1fgI/JvxpQ8xUznNFkId6IF7cujxwGoIZUHlMcWOKGS
/6by9ADG9jNO/mEMBGB9ujJdLd10wZuFqRtDCg==</SignatureValue>
  <KeyInfo>
    <X509Data>
      <X509Certificate>MIIIhjCCBm6gAwIBAgIEAVCxjjANBgkqhkiG9w0BAQsFADBpMQswCQYDVQQGEwJDWjEXMBUGA1UEYRMOTlRSQ1otNDcxMTQ5ODMxHTAbBgNVBAoMFMSMZXNrw6EgcG/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VrEm/qr0ElphVX8G17nWk6sS96ENBuLOj+N+GJ0yB8oO3ZIcC2yZvD4EZnfeRB1O6suzX+CYXJseBIUUvEsHN0NjvZxT5Klkf4D7nkIGY/lXXpdUeRX7SkEGovxot26D7LxuVwLXZxAYE5GH242a4+YTr/ea4ioIlCLsVC8LOFj/FCPrm6fdIpdA4wVdHb2tuBOLXCCdxrRwW13XepYIPKSpLVxhHKMM0AcujrL46pAnDLF+I1hAyU9gOP9wBJU6E/f8OEZw6vgZm91WwGILLo75b0wYdO/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ZA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L3pdfb9toOjQ/JVOJMiGUMreRbTTBCBtFoV/ycG8mRs=</DigestValue>
      </Reference>
      <Reference URI="/word/endnotes.xml?ContentType=application/vnd.openxmlformats-officedocument.wordprocessingml.endnotes+xml">
        <DigestMethod Algorithm="http://www.w3.org/2001/04/xmlenc#sha256"/>
        <DigestValue>Cetmm7c0Pg/ZiSOtiS3g355L0K16xVcnl2cYkvdyyFY=</DigestValue>
      </Reference>
      <Reference URI="/word/fontTable.xml?ContentType=application/vnd.openxmlformats-officedocument.wordprocessingml.fontTable+xml">
        <DigestMethod Algorithm="http://www.w3.org/2001/04/xmlenc#sha256"/>
        <DigestValue>2m0gN+h2NaWZs5Hj1q03pi1U7ekl8CJTl7fC1XKwoOA=</DigestValue>
      </Reference>
      <Reference URI="/word/footer1.xml?ContentType=application/vnd.openxmlformats-officedocument.wordprocessingml.footer+xml">
        <DigestMethod Algorithm="http://www.w3.org/2001/04/xmlenc#sha256"/>
        <DigestValue>HNILvfyH6NQ860aswI5iYEdDiwkjM16u1UX8vTu3UrM=</DigestValue>
      </Reference>
      <Reference URI="/word/footnotes.xml?ContentType=application/vnd.openxmlformats-officedocument.wordprocessingml.footnotes+xml">
        <DigestMethod Algorithm="http://www.w3.org/2001/04/xmlenc#sha256"/>
        <DigestValue>AiFo6rUxzawGQNFoetnxc7IBasGDgdr0h9VRvXyJX2c=</DigestValue>
      </Reference>
      <Reference URI="/word/header1.xml?ContentType=application/vnd.openxmlformats-officedocument.wordprocessingml.header+xml">
        <DigestMethod Algorithm="http://www.w3.org/2001/04/xmlenc#sha256"/>
        <DigestValue>WUvhogl3bjrKh3+kf7Gt7gBix1rWx/erqReOoCf1+9E=</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fAdz4ZxY6f0VaUVdtGZZQ07kwuVxkma0WWjM0eun/Vo=</DigestValue>
      </Reference>
      <Reference URI="/word/settings.xml?ContentType=application/vnd.openxmlformats-officedocument.wordprocessingml.settings+xml">
        <DigestMethod Algorithm="http://www.w3.org/2001/04/xmlenc#sha256"/>
        <DigestValue>//pECis2RmG4IUXt21G3azmjG/3BTW2PteKkaqe1Oo8=</DigestValue>
      </Reference>
      <Reference URI="/word/styles.xml?ContentType=application/vnd.openxmlformats-officedocument.wordprocessingml.styles+xml">
        <DigestMethod Algorithm="http://www.w3.org/2001/04/xmlenc#sha256"/>
        <DigestValue>eGdWIuzfcnAfyomOUItgJlaLaFUv5Q4u77SX+s9y2Cc=</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nJZjZLMJWX0b+yJN/za3PJGMakKc9vfbLnLbFPV17Mo=</DigestValue>
      </Reference>
    </Manifest>
    <SignatureProperties>
      <SignatureProperty Id="idSignatureTime" Target="#idPackageSignature">
        <mdssi:SignatureTime xmlns:mdssi="http://schemas.openxmlformats.org/package/2006/digital-signature">
          <mdssi:Format>YYYY-MM-DDThh:mm:ssTZD</mdssi:Format>
          <mdssi:Value>2020-07-08T07:59:47Z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16.0.12827/20</OfficeVersion>
          <ApplicationVersion>16.0.12827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2020-07-08T07:59:47Z</xd:SigningTime>
          <xd:SigningCertificate>
            <xd:Cert>
              <xd:CertDigest>
                <DigestMethod Algorithm="http://www.w3.org/2001/04/xmlenc#sha256"/>
                <DigestValue>WQWil4QuRnhIsd65bdAqb80q0UDT1wVD40jzre6CsvY=</DigestValue>
              </xd:CertDigest>
              <xd:IssuerSerial>
                <X509IssuerName>CN=PostSignum Qualified CA 4, O="Česká pošta, s.p.", OID.2.5.4.97=NTRCZ-47114983, C=CZ</X509IssuerName>
                <X509SerialNumber>22065550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54D0-2F16-4604-B62F-E7D156D8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4188</Words>
  <Characters>24714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28845</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3</cp:revision>
  <cp:lastPrinted>2020-06-15T05:41:00Z</cp:lastPrinted>
  <dcterms:created xsi:type="dcterms:W3CDTF">2020-07-08T07:59:00Z</dcterms:created>
  <dcterms:modified xsi:type="dcterms:W3CDTF">2020-07-08T07:59:00Z</dcterms:modified>
</cp:coreProperties>
</file>