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C531D" w14:textId="62CE7017" w:rsidR="00ED2BC6" w:rsidRDefault="00ED2BC6" w:rsidP="00774F54">
      <w:pPr>
        <w:spacing w:after="8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Časť II.</w:t>
      </w:r>
    </w:p>
    <w:p w14:paraId="600D78C4" w14:textId="77777777" w:rsidR="00ED2BC6" w:rsidRDefault="00ED2BC6" w:rsidP="00774F54">
      <w:pPr>
        <w:spacing w:after="80"/>
        <w:jc w:val="center"/>
      </w:pPr>
      <w:r>
        <w:rPr>
          <w:b/>
          <w:bCs/>
          <w:sz w:val="32"/>
          <w:szCs w:val="32"/>
        </w:rPr>
        <w:t>OPIS PREDMETU ZÁKAZKY</w:t>
      </w:r>
    </w:p>
    <w:p w14:paraId="7FDEF381" w14:textId="39111C92" w:rsidR="00ED2BC6" w:rsidRDefault="00ED2BC6" w:rsidP="00ED2BC6">
      <w:pPr>
        <w:spacing w:after="300"/>
        <w:jc w:val="center"/>
      </w:pPr>
      <w:r>
        <w:rPr>
          <w:b/>
          <w:bCs/>
          <w:sz w:val="24"/>
          <w:szCs w:val="24"/>
        </w:rPr>
        <w:t xml:space="preserve">Technická špecifikácia </w:t>
      </w:r>
      <w:proofErr w:type="spellStart"/>
      <w:r w:rsidR="000F3059" w:rsidRPr="000F3059">
        <w:rPr>
          <w:b/>
          <w:bCs/>
          <w:sz w:val="24"/>
          <w:szCs w:val="24"/>
        </w:rPr>
        <w:t>Fotovoltaickej</w:t>
      </w:r>
      <w:proofErr w:type="spellEnd"/>
      <w:r w:rsidR="000F3059" w:rsidRPr="000F3059">
        <w:rPr>
          <w:b/>
          <w:bCs/>
          <w:sz w:val="24"/>
          <w:szCs w:val="24"/>
        </w:rPr>
        <w:t xml:space="preserve"> elektrárne FVE s výkonom 10 </w:t>
      </w:r>
      <w:proofErr w:type="spellStart"/>
      <w:r w:rsidR="000F3059" w:rsidRPr="000F3059">
        <w:rPr>
          <w:b/>
          <w:bCs/>
          <w:sz w:val="24"/>
          <w:szCs w:val="24"/>
        </w:rPr>
        <w:t>kWp</w:t>
      </w:r>
      <w:proofErr w:type="spell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E95F3A" w14:paraId="3F7F216F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148B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Miesto realizácie (miesto plnenia)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FF964" w14:textId="7ADB27A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Prevádzka MIK, s. r. o.</w:t>
            </w:r>
            <w:r w:rsidR="00F34531">
              <w:rPr>
                <w:sz w:val="20"/>
                <w:szCs w:val="20"/>
              </w:rPr>
              <w:t>, Hollého 1999/13, 927 05 Šaľa</w:t>
            </w:r>
          </w:p>
        </w:tc>
      </w:tr>
      <w:tr w:rsidR="00E95F3A" w14:paraId="51C9CA80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26A55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Existujúci inštalovaný výkon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5EB8A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19,8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</w:p>
        </w:tc>
      </w:tr>
      <w:tr w:rsidR="00E95F3A" w14:paraId="51853969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A6146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Existujúce FV panely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28CE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40 ks </w:t>
            </w:r>
            <w:proofErr w:type="spellStart"/>
            <w:r>
              <w:rPr>
                <w:sz w:val="20"/>
                <w:szCs w:val="20"/>
              </w:rPr>
              <w:t>LONGi</w:t>
            </w:r>
            <w:proofErr w:type="spellEnd"/>
            <w:r>
              <w:rPr>
                <w:sz w:val="20"/>
                <w:szCs w:val="20"/>
              </w:rPr>
              <w:t xml:space="preserve"> LR5-66HIH-495M, 495 </w:t>
            </w:r>
            <w:proofErr w:type="spellStart"/>
            <w:r>
              <w:rPr>
                <w:sz w:val="20"/>
                <w:szCs w:val="20"/>
              </w:rPr>
              <w:t>Wp</w:t>
            </w:r>
            <w:proofErr w:type="spellEnd"/>
          </w:p>
        </w:tc>
      </w:tr>
      <w:tr w:rsidR="00E95F3A" w14:paraId="6CC4AC04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85EC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 xml:space="preserve">Existujúci </w:t>
            </w:r>
            <w:proofErr w:type="spellStart"/>
            <w:r>
              <w:rPr>
                <w:b/>
                <w:bCs/>
                <w:sz w:val="20"/>
                <w:szCs w:val="20"/>
              </w:rPr>
              <w:t>striedač</w:t>
            </w:r>
            <w:proofErr w:type="spellEnd"/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85514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Huawei SUN2000-20K-MB0, 20 kW</w:t>
            </w:r>
          </w:p>
        </w:tc>
      </w:tr>
      <w:tr w:rsidR="00E95F3A" w14:paraId="63A5CFBF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807C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Existujúci monitoring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FD7C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Huawei </w:t>
            </w:r>
            <w:proofErr w:type="spellStart"/>
            <w:r>
              <w:rPr>
                <w:sz w:val="20"/>
                <w:szCs w:val="20"/>
              </w:rPr>
              <w:t>FusionSolar</w:t>
            </w:r>
            <w:proofErr w:type="spellEnd"/>
          </w:p>
        </w:tc>
      </w:tr>
      <w:tr w:rsidR="00E95F3A" w14:paraId="004AB696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FC626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Požadované rozšírenie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191FF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min. 10,0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</w:p>
        </w:tc>
      </w:tr>
      <w:tr w:rsidR="00E95F3A" w14:paraId="6FCB7AB6" w14:textId="77777777">
        <w:trPr>
          <w:cantSplit/>
        </w:trPr>
        <w:tc>
          <w:tcPr>
            <w:tcW w:w="29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B4EE4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Cieľový stav po realizácii</w:t>
            </w:r>
          </w:p>
        </w:tc>
        <w:tc>
          <w:tcPr>
            <w:tcW w:w="6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E55B9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cca 29,8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</w:p>
        </w:tc>
      </w:tr>
    </w:tbl>
    <w:p w14:paraId="6C2F9685" w14:textId="77777777" w:rsidR="00E95F3A" w:rsidRDefault="00E95F3A"/>
    <w:p w14:paraId="78AE56A3" w14:textId="77777777" w:rsidR="00E95F3A" w:rsidRDefault="00000000">
      <w:pPr>
        <w:pStyle w:val="Nadpis1"/>
      </w:pPr>
      <w:r>
        <w:t>A. Všeobecné požiadavky na predmet zákazky</w:t>
      </w:r>
    </w:p>
    <w:p w14:paraId="533EA1D3" w14:textId="6BA387D1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Všetky zariadenia musia byť nové, nepoužité, v aktuálnom sériovo vyrábanom prevedení, určené na trvalú prevádzku v priemyselnej (potravinárskej) inštalácii.</w:t>
      </w:r>
      <w:r w:rsidR="00F01086">
        <w:t xml:space="preserve"> </w:t>
      </w:r>
    </w:p>
    <w:p w14:paraId="24D30A2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Zariadenia musia spĺňať požiadavky platných právnych predpisov SR a EÚ, musia byť označené značkou CE a dodané s vyhlásením o zhode.</w:t>
      </w:r>
    </w:p>
    <w:p w14:paraId="4F3A10C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Dielo musí byť navrhnuté a zrealizované v súlade s platnými technickými normami a s technickými podmienkami pripojenia príslušného prevádzkovateľa distribučnej sústavy (PDS).</w:t>
      </w:r>
    </w:p>
    <w:p w14:paraId="01A17CA1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Ovládacie prvky, popisy, riadiaci systém a monitorovacie rozhranie v štátnom jazyku (prípadne v štátnom jazyku a angličtine).</w:t>
      </w:r>
    </w:p>
    <w:p w14:paraId="2B36EF07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Súčasťou dodávky je doprava na miesto plnenia, montáž, pripojenie, nastavenie, skúšobná prevádzka, uvedenie do prevádzky a zaškolenie obsluhy (písomný protokol o zaškolení).</w:t>
      </w:r>
    </w:p>
    <w:p w14:paraId="757C9E68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Súčasťou dodávky je návod na obsluhu a údržbu, realizačná projektová dokumentácia, schéma elektrického zapojenia, revízna správa a vyhlásenia o zhode – v listinnej a elektronickej podobe v štátnom jazyku.</w:t>
      </w:r>
    </w:p>
    <w:p w14:paraId="48D5F05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Záruka na dodané zariadenie min. 24 mesiacov od protokolárneho odovzdania diela; dostupnosť náhradných dielov min. 10 rokov.</w:t>
      </w:r>
    </w:p>
    <w:p w14:paraId="5271C85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Reakcia servisného technika do 48 hodín od preukázateľného nahlásenia poruchy; diagnostika poruchy a návrh ďalšieho postupu v tejto lehote.</w:t>
      </w:r>
    </w:p>
    <w:p w14:paraId="72208FAB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 xml:space="preserve">Ak nie je pri konkrétnom parametri uvedené inak, uvedené hodnoty sú požadované minimálne (pri výkonových a </w:t>
      </w:r>
      <w:proofErr w:type="spellStart"/>
      <w:r>
        <w:t>účinnostných</w:t>
      </w:r>
      <w:proofErr w:type="spellEnd"/>
      <w:r>
        <w:t xml:space="preserve"> parametroch), resp. maximálne (pri spotrebách a rozmeroch).</w:t>
      </w:r>
    </w:p>
    <w:p w14:paraId="02741467" w14:textId="011E3CA1" w:rsidR="00ED2BC6" w:rsidRDefault="00000000" w:rsidP="00CA3D31">
      <w:pPr>
        <w:pStyle w:val="Odsekzoznamu"/>
        <w:numPr>
          <w:ilvl w:val="0"/>
          <w:numId w:val="2"/>
        </w:numPr>
        <w:spacing w:after="60"/>
        <w:jc w:val="both"/>
      </w:pPr>
      <w:r>
        <w:t>Predmet zákazky sa oceňuje ako jeden funkčný celok. Ponuková cena musí zahŕňať kompletnú dodávku vrátane všetkých súvisiacich prác, služieb a dokumentácie; všetky položky uvedené v tomto opise sú neoddeliteľnou súčasťou dodávky a jej ceny.</w:t>
      </w:r>
    </w:p>
    <w:p w14:paraId="2EC0372F" w14:textId="77777777" w:rsidR="00E95F3A" w:rsidRDefault="00000000">
      <w:pPr>
        <w:pStyle w:val="Nadpis1"/>
      </w:pPr>
      <w:r>
        <w:t>B. Východiskový stav a podmienky integrácie</w:t>
      </w:r>
    </w:p>
    <w:p w14:paraId="1F11C3D1" w14:textId="0C552D71" w:rsidR="00E95F3A" w:rsidRDefault="00ED2BC6" w:rsidP="00ED2BC6">
      <w:pPr>
        <w:jc w:val="both"/>
      </w:pPr>
      <w:r>
        <w:t xml:space="preserve">Obstarávateľ v súčasnosti prevádzkuje na objekte </w:t>
      </w:r>
      <w:proofErr w:type="spellStart"/>
      <w:r>
        <w:t>fotovoltický</w:t>
      </w:r>
      <w:proofErr w:type="spellEnd"/>
      <w:r>
        <w:t xml:space="preserve"> systém s výkonom 19,8 </w:t>
      </w:r>
      <w:proofErr w:type="spellStart"/>
      <w:r>
        <w:t>kWp</w:t>
      </w:r>
      <w:proofErr w:type="spellEnd"/>
      <w:r>
        <w:t>. Systém je plne funkčný a je monitorovaný cez softvérové rozhranie výrobcu zariadenia. Existujúcu technológiu tvorí:</w:t>
      </w:r>
    </w:p>
    <w:p w14:paraId="0791F62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proofErr w:type="spellStart"/>
      <w:r>
        <w:lastRenderedPageBreak/>
        <w:t>fotovoltické</w:t>
      </w:r>
      <w:proofErr w:type="spellEnd"/>
      <w:r>
        <w:t xml:space="preserve"> panely: 40 ks </w:t>
      </w:r>
      <w:proofErr w:type="spellStart"/>
      <w:r>
        <w:t>LONGi</w:t>
      </w:r>
      <w:proofErr w:type="spellEnd"/>
      <w:r>
        <w:t xml:space="preserve"> LR5-66HIH-495M, menovitý výkon 495 </w:t>
      </w:r>
      <w:proofErr w:type="spellStart"/>
      <w:r>
        <w:t>Wp</w:t>
      </w:r>
      <w:proofErr w:type="spellEnd"/>
      <w:r>
        <w:t>,</w:t>
      </w:r>
    </w:p>
    <w:p w14:paraId="059E009B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proofErr w:type="spellStart"/>
      <w:r>
        <w:t>striedač</w:t>
      </w:r>
      <w:proofErr w:type="spellEnd"/>
      <w:r>
        <w:t>: Huawei SUN2000-20K-MB0, menovitý AC výkon 20 kW,</w:t>
      </w:r>
    </w:p>
    <w:p w14:paraId="1989EF2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 xml:space="preserve">monitorovací systém: Huawei </w:t>
      </w:r>
      <w:proofErr w:type="spellStart"/>
      <w:r>
        <w:t>FusionSolar</w:t>
      </w:r>
      <w:proofErr w:type="spellEnd"/>
      <w:r>
        <w:t>.</w:t>
      </w:r>
    </w:p>
    <w:p w14:paraId="5BA7C75D" w14:textId="77777777" w:rsidR="00E95F3A" w:rsidRDefault="00000000" w:rsidP="00ED2BC6">
      <w:pPr>
        <w:jc w:val="both"/>
      </w:pPr>
      <w:r>
        <w:t xml:space="preserve">Údaje o existujúcej technológii sú uvedené na účely návrhu integrácie novej časti. Nové FV panely budú zapojené do vlastných </w:t>
      </w:r>
      <w:proofErr w:type="spellStart"/>
      <w:r>
        <w:t>stringov</w:t>
      </w:r>
      <w:proofErr w:type="spellEnd"/>
      <w:r>
        <w:t xml:space="preserve"> na novom </w:t>
      </w:r>
      <w:proofErr w:type="spellStart"/>
      <w:r>
        <w:t>striedači</w:t>
      </w:r>
      <w:proofErr w:type="spellEnd"/>
      <w:r>
        <w:t xml:space="preserve">, preto sa nepožaduje zhoda ich elektrických parametrov s existujúcimi panelmi; rozhodujúca je kompatibilita s novým </w:t>
      </w:r>
      <w:proofErr w:type="spellStart"/>
      <w:r>
        <w:t>striedačom</w:t>
      </w:r>
      <w:proofErr w:type="spellEnd"/>
      <w:r>
        <w:t xml:space="preserve"> a správny návrh </w:t>
      </w:r>
      <w:proofErr w:type="spellStart"/>
      <w:r>
        <w:t>stringov</w:t>
      </w:r>
      <w:proofErr w:type="spellEnd"/>
      <w:r>
        <w:t>.</w:t>
      </w:r>
    </w:p>
    <w:p w14:paraId="4E9816B9" w14:textId="77777777" w:rsidR="00E95F3A" w:rsidRDefault="00000000" w:rsidP="00ED2BC6">
      <w:pPr>
        <w:jc w:val="both"/>
      </w:pPr>
      <w:r>
        <w:t>Zásadnou podmienkou pre rozšírenie je zachovanie jednotného technologického a monitorovacieho ekosystému. Pôvodná a nová časť FVE musia byť integrované do spoločného systému monitoringu a regulácie výrobného výkonu, pričom výroba a prevádzkové údaje oboch častí musia byť dostupné v jednom používateľskom rozhraní. Verejný obstarávateľ po odovzdaní diela nesmie byť nútený využívať pre pôvodnú a novú časť FVE dve rozdielne monitorovacie aplikácie.</w:t>
      </w:r>
    </w:p>
    <w:p w14:paraId="3BAC8C2D" w14:textId="77777777" w:rsidR="00E95F3A" w:rsidRDefault="00000000" w:rsidP="00ED2BC6">
      <w:pPr>
        <w:jc w:val="both"/>
      </w:pPr>
      <w:r>
        <w:t>Túto podmienku je možné splniť jedným z nasledovných spôsobov:</w:t>
      </w:r>
    </w:p>
    <w:p w14:paraId="658A736F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nové zariadenia budú plne kompatibilné s existujúcim komunikačným protokolom a budú sa zobrazovať v existujúcom monitorovacom rozhraní, alebo</w:t>
      </w:r>
    </w:p>
    <w:p w14:paraId="0B7B6868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uchádzač v rámci ceny diela zabezpečí nadradený monitorovací systém (</w:t>
      </w:r>
      <w:proofErr w:type="spellStart"/>
      <w:r>
        <w:t>datalogger</w:t>
      </w:r>
      <w:proofErr w:type="spellEnd"/>
      <w:r>
        <w:t xml:space="preserve"> a softvér), ktorý integrovaným spôsobom vizualizuje dáta o výrobe a spotrebe z pôvodného aj nového zariadenia v jednom spoločnom používateľskom rozhraní.</w:t>
      </w:r>
    </w:p>
    <w:p w14:paraId="186113A8" w14:textId="77777777" w:rsidR="00E95F3A" w:rsidRDefault="00000000" w:rsidP="00ED2BC6">
      <w:pPr>
        <w:jc w:val="both"/>
      </w:pPr>
      <w:r>
        <w:rPr>
          <w:i/>
          <w:iCs/>
        </w:rPr>
        <w:t>V oboch prípadoch musí byť po odovzdaní diela celá FVE monitorovaná a regulovaná ako jeden technologický celok. Náklady na splnenie tejto podmienky sú neoddeliteľnou súčasťou ponukovej ceny diela.</w:t>
      </w:r>
    </w:p>
    <w:p w14:paraId="5F3BDE82" w14:textId="77777777" w:rsidR="00E95F3A" w:rsidRDefault="00000000" w:rsidP="00ED2BC6">
      <w:pPr>
        <w:jc w:val="both"/>
      </w:pPr>
      <w:r>
        <w:t xml:space="preserve">Uchádzač zodpovedá za overenie aktuálneho typu, komunikačného protokolu a firmvéru existujúceho </w:t>
      </w:r>
      <w:proofErr w:type="spellStart"/>
      <w:r>
        <w:t>striedača</w:t>
      </w:r>
      <w:proofErr w:type="spellEnd"/>
      <w:r>
        <w:t xml:space="preserve"> pri obhliadke miesta plnenia.</w:t>
      </w:r>
    </w:p>
    <w:p w14:paraId="16D41033" w14:textId="77777777" w:rsidR="00E95F3A" w:rsidRDefault="00000000" w:rsidP="00ED2BC6">
      <w:pPr>
        <w:jc w:val="both"/>
      </w:pPr>
      <w:r>
        <w:t>Uchádzač pred predložením ponuky overí technickú realizovateľnosť navrhovaného spôsobu integrácie s existujúcim systémom a zahrnie všetky zariadenia, licencie, komunikačné prvky a úpravy potrebné na jej zabezpečenie do ponukovej ceny.</w:t>
      </w:r>
    </w:p>
    <w:p w14:paraId="607E2860" w14:textId="77777777" w:rsidR="00E95F3A" w:rsidRDefault="00000000">
      <w:pPr>
        <w:pStyle w:val="Nadpis1"/>
      </w:pPr>
      <w:r>
        <w:t>C. Technická špecifikácia navrhovaného rozšírenia</w:t>
      </w:r>
    </w:p>
    <w:p w14:paraId="62DFDF63" w14:textId="77777777" w:rsidR="00E95F3A" w:rsidRDefault="00000000">
      <w:r>
        <w:rPr>
          <w:i/>
          <w:iCs/>
        </w:rPr>
        <w:t>Rozšírenie sa požaduje bez batériového úložiska.</w:t>
      </w:r>
    </w:p>
    <w:p w14:paraId="4189C41D" w14:textId="77777777" w:rsidR="00E95F3A" w:rsidRDefault="00000000">
      <w:pPr>
        <w:pStyle w:val="Nadpis2"/>
      </w:pPr>
      <w:r>
        <w:t xml:space="preserve">C.1 </w:t>
      </w:r>
      <w:proofErr w:type="spellStart"/>
      <w:r>
        <w:t>Fotovoltické</w:t>
      </w:r>
      <w:proofErr w:type="spellEnd"/>
      <w:r>
        <w:t xml:space="preserve"> panely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00"/>
      </w:tblGrid>
      <w:tr w:rsidR="00E95F3A" w14:paraId="33350877" w14:textId="77777777">
        <w:trPr>
          <w:tblHeader/>
        </w:trPr>
        <w:tc>
          <w:tcPr>
            <w:tcW w:w="33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55CA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57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F935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Požadovaná hodnota</w:t>
            </w:r>
          </w:p>
        </w:tc>
      </w:tr>
      <w:tr w:rsidR="00E95F3A" w14:paraId="104C420C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2811E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Celkový inštalovaný výkon novej časti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0251A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min. 10,0 </w:t>
            </w:r>
            <w:proofErr w:type="spellStart"/>
            <w:r>
              <w:rPr>
                <w:sz w:val="20"/>
                <w:szCs w:val="20"/>
              </w:rPr>
              <w:t>kWp</w:t>
            </w:r>
            <w:proofErr w:type="spellEnd"/>
          </w:p>
        </w:tc>
      </w:tr>
      <w:tr w:rsidR="00E95F3A" w14:paraId="73347514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E738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Technológia panelov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36346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monokryštalické, prevedenie vhodné pre priemyselné inštalácie</w:t>
            </w:r>
          </w:p>
        </w:tc>
      </w:tr>
      <w:tr w:rsidR="00E95F3A" w14:paraId="4CEB3DB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C7BD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Minimálny výkon jedného panela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7155C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min. 450 </w:t>
            </w:r>
            <w:proofErr w:type="spellStart"/>
            <w:r>
              <w:rPr>
                <w:sz w:val="20"/>
                <w:szCs w:val="20"/>
              </w:rPr>
              <w:t>Wp</w:t>
            </w:r>
            <w:proofErr w:type="spellEnd"/>
            <w:r>
              <w:rPr>
                <w:sz w:val="20"/>
                <w:szCs w:val="20"/>
              </w:rPr>
              <w:t xml:space="preserve"> (alebo ekvivalent adekvátny pre priemyselné inštalácie)</w:t>
            </w:r>
          </w:p>
        </w:tc>
      </w:tr>
      <w:tr w:rsidR="00E95F3A" w14:paraId="6C63A76A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C7B4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Minimálna účinnosť panela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19FF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21 %</w:t>
            </w:r>
          </w:p>
        </w:tc>
      </w:tr>
      <w:tr w:rsidR="00E95F3A" w14:paraId="63A3357F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A8D09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 na lineárny pokles výkonu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1721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84 % menovitého výkonu po 25 rokoch</w:t>
            </w:r>
          </w:p>
        </w:tc>
      </w:tr>
      <w:tr w:rsidR="00E95F3A" w14:paraId="4D602314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8321D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 na výrobok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7485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12 rokov</w:t>
            </w:r>
          </w:p>
        </w:tc>
      </w:tr>
      <w:tr w:rsidR="00E95F3A" w14:paraId="63B72397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E838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Certifikácia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84336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IEC 61215, IEC 61730 alebo ekvivalent; označenie CE</w:t>
            </w:r>
          </w:p>
        </w:tc>
      </w:tr>
    </w:tbl>
    <w:p w14:paraId="03DD41CF" w14:textId="77777777" w:rsidR="00E95F3A" w:rsidRDefault="00000000">
      <w:pPr>
        <w:pStyle w:val="Nadpis2"/>
      </w:pPr>
      <w:r>
        <w:t xml:space="preserve">C.2 </w:t>
      </w:r>
      <w:proofErr w:type="spellStart"/>
      <w:r>
        <w:t>Striedač</w:t>
      </w:r>
      <w:proofErr w:type="spellEnd"/>
      <w:r>
        <w:t xml:space="preserve"> (menič napätia)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5700"/>
      </w:tblGrid>
      <w:tr w:rsidR="00E95F3A" w14:paraId="4B1F9FAC" w14:textId="77777777">
        <w:trPr>
          <w:tblHeader/>
        </w:trPr>
        <w:tc>
          <w:tcPr>
            <w:tcW w:w="33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24F88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Parameter</w:t>
            </w:r>
          </w:p>
        </w:tc>
        <w:tc>
          <w:tcPr>
            <w:tcW w:w="57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1EA20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Požadovaná hodnota</w:t>
            </w:r>
          </w:p>
        </w:tc>
      </w:tr>
      <w:tr w:rsidR="00E95F3A" w14:paraId="4CB4E3D6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D5F5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Typ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FDFAE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trojfázový sieťový (On-</w:t>
            </w:r>
            <w:proofErr w:type="spellStart"/>
            <w:r>
              <w:rPr>
                <w:sz w:val="20"/>
                <w:szCs w:val="20"/>
              </w:rPr>
              <w:t>Grid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striedač</w:t>
            </w:r>
            <w:proofErr w:type="spellEnd"/>
            <w:r>
              <w:rPr>
                <w:sz w:val="20"/>
                <w:szCs w:val="20"/>
              </w:rPr>
              <w:t xml:space="preserve"> napätia</w:t>
            </w:r>
          </w:p>
        </w:tc>
      </w:tr>
      <w:tr w:rsidR="00E95F3A" w14:paraId="0E6002C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56979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Nominálny AC výkon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C33E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10 kW</w:t>
            </w:r>
          </w:p>
        </w:tc>
      </w:tr>
      <w:tr w:rsidR="00E95F3A" w14:paraId="6113B056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8632B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Európska účinnosť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1234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97 %</w:t>
            </w:r>
          </w:p>
        </w:tc>
      </w:tr>
      <w:tr w:rsidR="00E95F3A" w14:paraId="7B5B1187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0C70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 xml:space="preserve">Počet MPPT </w:t>
            </w:r>
            <w:proofErr w:type="spellStart"/>
            <w:r>
              <w:rPr>
                <w:b/>
                <w:bCs/>
                <w:sz w:val="20"/>
                <w:szCs w:val="20"/>
              </w:rPr>
              <w:t>trackerov</w:t>
            </w:r>
            <w:proofErr w:type="spellEnd"/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F638D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 nezávislé MPPT</w:t>
            </w:r>
          </w:p>
        </w:tc>
      </w:tr>
      <w:tr w:rsidR="00E95F3A" w14:paraId="7879CAE3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C6B2A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Maximálne DC napätie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825AB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1 000 V</w:t>
            </w:r>
          </w:p>
        </w:tc>
      </w:tr>
      <w:tr w:rsidR="00E95F3A" w14:paraId="1D50AB71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696863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Rozsah MPPT a max. vstupné prúdy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69CF8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zodpovedajúce navrhovanému </w:t>
            </w:r>
            <w:proofErr w:type="spellStart"/>
            <w:r>
              <w:rPr>
                <w:sz w:val="20"/>
                <w:szCs w:val="20"/>
              </w:rPr>
              <w:t>stringovému</w:t>
            </w:r>
            <w:proofErr w:type="spellEnd"/>
            <w:r>
              <w:rPr>
                <w:sz w:val="20"/>
                <w:szCs w:val="20"/>
              </w:rPr>
              <w:t xml:space="preserve"> zapojeniu; uchádzač preukáže návrhom správne dimenzovanie </w:t>
            </w:r>
            <w:proofErr w:type="spellStart"/>
            <w:r>
              <w:rPr>
                <w:sz w:val="20"/>
                <w:szCs w:val="20"/>
              </w:rPr>
              <w:t>stringov</w:t>
            </w:r>
            <w:proofErr w:type="spellEnd"/>
            <w:r>
              <w:rPr>
                <w:sz w:val="20"/>
                <w:szCs w:val="20"/>
              </w:rPr>
              <w:t xml:space="preserve"> vzhľadom na </w:t>
            </w:r>
            <w:proofErr w:type="spellStart"/>
            <w:r>
              <w:rPr>
                <w:sz w:val="20"/>
                <w:szCs w:val="20"/>
              </w:rPr>
              <w:t>Voc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Vmp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Imp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Isc</w:t>
            </w:r>
            <w:proofErr w:type="spellEnd"/>
            <w:r>
              <w:rPr>
                <w:sz w:val="20"/>
                <w:szCs w:val="20"/>
              </w:rPr>
              <w:t xml:space="preserve"> a návrhové teplotné podmienky</w:t>
            </w:r>
          </w:p>
        </w:tc>
      </w:tr>
      <w:tr w:rsidR="00E95F3A" w14:paraId="624D971A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DBD42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Komunikácia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2511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štandardné </w:t>
            </w:r>
            <w:proofErr w:type="spellStart"/>
            <w:r>
              <w:rPr>
                <w:sz w:val="20"/>
                <w:szCs w:val="20"/>
              </w:rPr>
              <w:t>zbernicové</w:t>
            </w:r>
            <w:proofErr w:type="spellEnd"/>
            <w:r>
              <w:rPr>
                <w:sz w:val="20"/>
                <w:szCs w:val="20"/>
              </w:rPr>
              <w:t xml:space="preserve"> riadenie a komunikácia umožňujúca spoločný monitoring a reguláciu s existujúcim systémom</w:t>
            </w:r>
          </w:p>
        </w:tc>
      </w:tr>
      <w:tr w:rsidR="00E95F3A" w14:paraId="1D66D59E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A9FAE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Stupeň krytia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CC1E3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IP65</w:t>
            </w:r>
          </w:p>
        </w:tc>
      </w:tr>
      <w:tr w:rsidR="00E95F3A" w14:paraId="2BDD7E22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DD210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Ochrany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0641D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ochrana proti ostrovnej prevádzke, monitoring izolačného stavu a ďalšie ochrany v rozsahu podľa projektu, platných technických predpisov a podmienok PDS; ochranné prvky môžu byť integrované v </w:t>
            </w:r>
            <w:proofErr w:type="spellStart"/>
            <w:r>
              <w:rPr>
                <w:sz w:val="20"/>
                <w:szCs w:val="20"/>
              </w:rPr>
              <w:t>striedači</w:t>
            </w:r>
            <w:proofErr w:type="spellEnd"/>
            <w:r>
              <w:rPr>
                <w:sz w:val="20"/>
                <w:szCs w:val="20"/>
              </w:rPr>
              <w:t xml:space="preserve"> alebo riešené externe v rozvádzačoch</w:t>
            </w:r>
          </w:p>
        </w:tc>
      </w:tr>
      <w:tr w:rsidR="00E95F3A" w14:paraId="18D16540" w14:textId="77777777">
        <w:trPr>
          <w:cantSplit/>
        </w:trPr>
        <w:tc>
          <w:tcPr>
            <w:tcW w:w="3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CB0C5" w14:textId="77777777" w:rsidR="00E95F3A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Záruka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66E47" w14:textId="77777777" w:rsidR="00E95F3A" w:rsidRDefault="00000000">
            <w:pPr>
              <w:spacing w:before="40" w:after="40"/>
            </w:pPr>
            <w:r>
              <w:rPr>
                <w:sz w:val="20"/>
                <w:szCs w:val="20"/>
              </w:rPr>
              <w:t>min. 24 mesiacov, s možnosťou predĺženia podľa podmienok výrobcu</w:t>
            </w:r>
          </w:p>
        </w:tc>
      </w:tr>
    </w:tbl>
    <w:p w14:paraId="3425F85B" w14:textId="77777777" w:rsidR="00E95F3A" w:rsidRDefault="00000000">
      <w:pPr>
        <w:pStyle w:val="Nadpis2"/>
      </w:pPr>
      <w:r>
        <w:t>C.3 Konštrukcia, elektroinštalácia a ochrany</w:t>
      </w:r>
    </w:p>
    <w:p w14:paraId="2FB5861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Dodávka a montáž certifikovanej nosnej konštrukcie pre navrhovaný počet FV panelov, zodpovedajúcej typu strechy obstarávateľa. Typ strechy a spôsob kotvenia uchádzač overí pri obhliadke miesta plnenia.</w:t>
      </w:r>
    </w:p>
    <w:p w14:paraId="61E4E6D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Dodávka príslušnej DC a AC kabeláže s UV ochranou, vrátane káblových trás, chráničiek a označenia.</w:t>
      </w:r>
    </w:p>
    <w:p w14:paraId="25785D1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 xml:space="preserve">Dodávka a inštalácia potrebných DC a AC rozvádzačov vrátane </w:t>
      </w:r>
      <w:proofErr w:type="spellStart"/>
      <w:r>
        <w:t>prepäťových</w:t>
      </w:r>
      <w:proofErr w:type="spellEnd"/>
      <w:r>
        <w:t xml:space="preserve"> ochrán a istenia prispôsobených na výkon nového </w:t>
      </w:r>
      <w:proofErr w:type="spellStart"/>
      <w:r>
        <w:t>striedača</w:t>
      </w:r>
      <w:proofErr w:type="spellEnd"/>
      <w:r>
        <w:t>.</w:t>
      </w:r>
    </w:p>
    <w:p w14:paraId="1598CBF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Úprava merania a regulácie v hlavnom rozvádzači podniku pre zabezpečenie plynulého chodu oboch systémov bez negatívneho vplyvu na existujúcu distribučnú sieť a jej parametre (rezervovaná kapacita, obmedzenie prietokov).</w:t>
      </w:r>
    </w:p>
    <w:p w14:paraId="21D4D56A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Regulácia činného výkonu musí pôsobiť na pôvodnú aj novú časť FVE ako na jeden technologický celok podľa merania v spoločnom bode pripojenia. Systém musí umožniť nastavenie maximálneho povoleného pretoku do distribučnej sústavy podľa podmienok PDS, vrátane možnosti režimu nulových pretokov, ak bude takýto režim požadovaný.</w:t>
      </w:r>
    </w:p>
    <w:p w14:paraId="7D0BF675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Doplnenie alebo úprava snímačov spotreby (</w:t>
      </w:r>
      <w:proofErr w:type="spellStart"/>
      <w:r>
        <w:t>smart</w:t>
      </w:r>
      <w:proofErr w:type="spellEnd"/>
      <w:r>
        <w:t xml:space="preserve"> meter) tak, aby regulácia výkonu zohľadňovala celkovú produkciu oboch </w:t>
      </w:r>
      <w:proofErr w:type="spellStart"/>
      <w:r>
        <w:t>striedačov</w:t>
      </w:r>
      <w:proofErr w:type="spellEnd"/>
      <w:r>
        <w:t>.</w:t>
      </w:r>
    </w:p>
    <w:p w14:paraId="4EFAD42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Uzemnenie a bleskozvodná ochrana novej časti v rozsahu vyplývajúcom z platných noriem a z jestvujúceho stavu objektu.</w:t>
      </w:r>
    </w:p>
    <w:p w14:paraId="07A89F94" w14:textId="77777777" w:rsidR="00E95F3A" w:rsidRDefault="00000000">
      <w:pPr>
        <w:pStyle w:val="Nadpis2"/>
      </w:pPr>
      <w:r>
        <w:t>C.4 Služby a inžiniering</w:t>
      </w:r>
    </w:p>
    <w:p w14:paraId="6AFE9CF9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 xml:space="preserve">Vypracovanie realizačnej projektovej dokumentácie (elektro). Dokumentácia musí obsahovať minimálne jednopólovú schému, </w:t>
      </w:r>
      <w:proofErr w:type="spellStart"/>
      <w:r>
        <w:t>stringové</w:t>
      </w:r>
      <w:proofErr w:type="spellEnd"/>
      <w:r>
        <w:t xml:space="preserve"> zapojenie, dimenzovanie DC a AC vedení, návrh istenia a </w:t>
      </w:r>
      <w:proofErr w:type="spellStart"/>
      <w:r>
        <w:t>prepäťových</w:t>
      </w:r>
      <w:proofErr w:type="spellEnd"/>
      <w:r>
        <w:t xml:space="preserve"> ochrán, riešenie uzemnenia a ochrany pred bleskom, nastavenie regulácie výkonu a spôsob integrácie novej a existujúcej FVE.</w:t>
      </w:r>
    </w:p>
    <w:p w14:paraId="44D8DCBD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lastRenderedPageBreak/>
        <w:t>Odborná prehliadka a odborná skúška (revízna správa) pre novú časť diela.</w:t>
      </w:r>
    </w:p>
    <w:p w14:paraId="4E99283C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Uvedenie systému do prevádzky, jeho kalibrácia a zosúladenie s existujúcim systémom, testovanie a zaškolenie obsluhy MIK, s. r. o.</w:t>
      </w:r>
    </w:p>
    <w:p w14:paraId="64A95D03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Nastavenie spoločného monitoringu podľa časti B a odovzdanie prístupov obstarávateľovi.</w:t>
      </w:r>
    </w:p>
    <w:p w14:paraId="5062266A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Dodávateľ zabezpečí administratívne a technické podklady potrebné na zmenu parametrov existujúceho lokálneho zdroja u príslušného prevádzkovateľa distribučnej sústavy (PDS) a na uvedenie rozšíreného zdroja do riadnej paralelnej prevádzky, vrátane súčinnosti pri funkčných skúškach a nastavení ochrán a regulácie, ak ich PDS bude požadovať.</w:t>
      </w:r>
    </w:p>
    <w:p w14:paraId="606880A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Rozšírením nesmie bez súhlasu PDS dôjsť k zvýšeniu maximálneho povoleného výkonu dodávky do distribučnej sústavy nad hodnotu povolenú PDS.</w:t>
      </w:r>
    </w:p>
    <w:p w14:paraId="241D7AB0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Odovzdanie dokumentácie skutočného vyhotovenia.</w:t>
      </w:r>
    </w:p>
    <w:p w14:paraId="19F885DC" w14:textId="77777777" w:rsidR="00E95F3A" w:rsidRDefault="00000000">
      <w:pPr>
        <w:pStyle w:val="Nadpis1"/>
      </w:pPr>
      <w:r>
        <w:t>D. Nie je predmetom dodávky (zabezpečí obstarávateľ)</w:t>
      </w:r>
    </w:p>
    <w:p w14:paraId="6E340D2E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Stavebná pripravenosť a prípadné stavebné úpravy objektu nad rámec montáže nosnej konštrukcie.</w:t>
      </w:r>
    </w:p>
    <w:p w14:paraId="5DEA89C2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Statické posúdenie strešnej konštrukcie, ak si ho vyžiada navrhované riešenie.</w:t>
      </w:r>
    </w:p>
    <w:p w14:paraId="09B3AE9F" w14:textId="77777777" w:rsidR="00E95F3A" w:rsidRDefault="00000000" w:rsidP="00ED2BC6">
      <w:pPr>
        <w:pStyle w:val="Odsekzoznamu"/>
        <w:numPr>
          <w:ilvl w:val="0"/>
          <w:numId w:val="2"/>
        </w:numPr>
        <w:spacing w:after="60"/>
        <w:jc w:val="both"/>
      </w:pPr>
      <w:r>
        <w:t>Poplatky a správne poplatky účtované prevádzkovateľom distribučnej sústavy.</w:t>
      </w:r>
    </w:p>
    <w:p w14:paraId="4D3EC6C1" w14:textId="77777777" w:rsidR="00E95F3A" w:rsidRDefault="00000000">
      <w:pPr>
        <w:pStyle w:val="Nadpis1"/>
      </w:pPr>
      <w:r>
        <w:t>E. Cieľový stav po realizácii</w:t>
      </w:r>
    </w:p>
    <w:p w14:paraId="7C5BAE67" w14:textId="77777777" w:rsidR="00E95F3A" w:rsidRDefault="00000000" w:rsidP="00ED2BC6">
      <w:pPr>
        <w:jc w:val="both"/>
      </w:pPr>
      <w:r>
        <w:t xml:space="preserve">Celkový inštalovaný výkon objektu dosiahne približne 29,8 </w:t>
      </w:r>
      <w:proofErr w:type="spellStart"/>
      <w:r>
        <w:t>kWp</w:t>
      </w:r>
      <w:proofErr w:type="spellEnd"/>
      <w:r>
        <w:t xml:space="preserve"> a objekt bude vybavený dvoma </w:t>
      </w:r>
      <w:proofErr w:type="spellStart"/>
      <w:r>
        <w:t>striedačmi</w:t>
      </w:r>
      <w:proofErr w:type="spellEnd"/>
      <w:r>
        <w:t>. Dielo musí byť schopné prevádzky v režime maximálneho využitia vyrobenej energie pre priamu vlastnú spotrebu prevádzky, pričom výroba a prevádzkové údaje oboch častí musia byť dostupné v jednom používateľskom rozhraní a regulácia činného výkonu musí pôsobiť na obe časti ako na jeden technologický celok.</w:t>
      </w:r>
    </w:p>
    <w:p w14:paraId="643EB2E1" w14:textId="77777777" w:rsidR="00E95F3A" w:rsidRDefault="00000000" w:rsidP="00ED2BC6">
      <w:pPr>
        <w:jc w:val="both"/>
      </w:pPr>
      <w:r>
        <w:t>Uchádzač zodpovedá za to, že po odovzdaní diela bude celý systém (pôvodná aj nová časť) funkčný ako jeden celok a že prevádzka novej časti nenaruší funkčnosť ani záručné podmienky pôvodnej časti.</w:t>
      </w:r>
    </w:p>
    <w:p w14:paraId="2B050ECE" w14:textId="00E12580" w:rsidR="00E95F3A" w:rsidRDefault="000F3059" w:rsidP="000F3059">
      <w:pPr>
        <w:pStyle w:val="Nadpis1"/>
      </w:pPr>
      <w:r>
        <w:t xml:space="preserve">F. Rekapitulácia ponukovej ceny </w:t>
      </w:r>
    </w:p>
    <w:p w14:paraId="7C15CC6C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Cena musí zahŕňať všetky náklady uchádzača spojené s dodaním predmetu zákazky (doprava, montáž, pripojenie, uvedenie do prevádzky, nastavenie monitoringu, zaškolenie obsluhy, dokumentácia, revízie, administratíva u PDS, záruka a záručný servis).</w:t>
      </w:r>
    </w:p>
    <w:p w14:paraId="6B505866" w14:textId="26648E84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Uchádzač ocení celý požadovaný rozsah uvedený v tabuľke na ocenenie</w:t>
      </w:r>
      <w:r w:rsidR="00AC76AC">
        <w:t xml:space="preserve"> (Príloha č. 4)</w:t>
      </w:r>
      <w:r>
        <w:t>. Dopĺňanie ďalších riadkov ani rozpis ceny na čiastkové plnenia sa nepripúšťa.</w:t>
      </w:r>
    </w:p>
    <w:p w14:paraId="045C22FD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Všetky uvedené parametre sú stanovené ako funkčné a výkonnostné požiadavky. Ak sa v opise vyskytuje odkaz na konkrétny postup, materiál alebo označenie, umožňuje sa predloženie ekvivalentného riešenia; ekvivalentnosť preukazuje uchádzač technickou dokumentáciou.</w:t>
      </w:r>
    </w:p>
    <w:p w14:paraId="519347BC" w14:textId="77777777" w:rsidR="00E95F3A" w:rsidRDefault="00000000" w:rsidP="000F3059">
      <w:pPr>
        <w:pStyle w:val="Odsekzoznamu"/>
        <w:numPr>
          <w:ilvl w:val="0"/>
          <w:numId w:val="2"/>
        </w:numPr>
        <w:spacing w:after="60"/>
        <w:jc w:val="both"/>
      </w:pPr>
      <w:r>
        <w:t>Uchádzač vyplní všetky biele polia tabuliek. Nevyplnená alebo nulová cena položky sa považuje za nepredloženie ponuky na danú položku.</w:t>
      </w:r>
    </w:p>
    <w:sectPr w:rsidR="00E95F3A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3737A" w14:textId="77777777" w:rsidR="00395C5B" w:rsidRDefault="00395C5B" w:rsidP="000F3059">
      <w:pPr>
        <w:spacing w:after="0" w:line="240" w:lineRule="auto"/>
      </w:pPr>
      <w:r>
        <w:separator/>
      </w:r>
    </w:p>
  </w:endnote>
  <w:endnote w:type="continuationSeparator" w:id="0">
    <w:p w14:paraId="3BF5AF39" w14:textId="77777777" w:rsidR="00395C5B" w:rsidRDefault="00395C5B" w:rsidP="000F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EB7D2" w14:textId="77777777" w:rsidR="00395C5B" w:rsidRDefault="00395C5B" w:rsidP="000F3059">
      <w:pPr>
        <w:spacing w:after="0" w:line="240" w:lineRule="auto"/>
      </w:pPr>
      <w:r>
        <w:separator/>
      </w:r>
    </w:p>
  </w:footnote>
  <w:footnote w:type="continuationSeparator" w:id="0">
    <w:p w14:paraId="132F9F2D" w14:textId="77777777" w:rsidR="00395C5B" w:rsidRDefault="00395C5B" w:rsidP="000F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8232D" w14:textId="4267C38C" w:rsidR="000F3059" w:rsidRDefault="000F3059">
    <w:pPr>
      <w:pStyle w:val="Hlavika"/>
    </w:pPr>
    <w:r>
      <w:t>Príloha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85A"/>
    <w:multiLevelType w:val="hybridMultilevel"/>
    <w:tmpl w:val="DEB43118"/>
    <w:lvl w:ilvl="0" w:tplc="D396A92E">
      <w:start w:val="1"/>
      <w:numFmt w:val="bullet"/>
      <w:lvlText w:val="•"/>
      <w:lvlJc w:val="left"/>
      <w:pPr>
        <w:ind w:left="360" w:hanging="240"/>
      </w:pPr>
    </w:lvl>
    <w:lvl w:ilvl="1" w:tplc="D5F4862C">
      <w:numFmt w:val="decimal"/>
      <w:lvlText w:val=""/>
      <w:lvlJc w:val="left"/>
    </w:lvl>
    <w:lvl w:ilvl="2" w:tplc="C238522E">
      <w:numFmt w:val="decimal"/>
      <w:lvlText w:val=""/>
      <w:lvlJc w:val="left"/>
    </w:lvl>
    <w:lvl w:ilvl="3" w:tplc="2EC6D242">
      <w:numFmt w:val="decimal"/>
      <w:lvlText w:val=""/>
      <w:lvlJc w:val="left"/>
    </w:lvl>
    <w:lvl w:ilvl="4" w:tplc="B5088F8C">
      <w:numFmt w:val="decimal"/>
      <w:lvlText w:val=""/>
      <w:lvlJc w:val="left"/>
    </w:lvl>
    <w:lvl w:ilvl="5" w:tplc="75ACD4EC">
      <w:numFmt w:val="decimal"/>
      <w:lvlText w:val=""/>
      <w:lvlJc w:val="left"/>
    </w:lvl>
    <w:lvl w:ilvl="6" w:tplc="1B421964">
      <w:numFmt w:val="decimal"/>
      <w:lvlText w:val=""/>
      <w:lvlJc w:val="left"/>
    </w:lvl>
    <w:lvl w:ilvl="7" w:tplc="87509DBA">
      <w:numFmt w:val="decimal"/>
      <w:lvlText w:val=""/>
      <w:lvlJc w:val="left"/>
    </w:lvl>
    <w:lvl w:ilvl="8" w:tplc="582891E4">
      <w:numFmt w:val="decimal"/>
      <w:lvlText w:val=""/>
      <w:lvlJc w:val="left"/>
    </w:lvl>
  </w:abstractNum>
  <w:abstractNum w:abstractNumId="1" w15:restartNumberingAfterBreak="0">
    <w:nsid w:val="49366874"/>
    <w:multiLevelType w:val="hybridMultilevel"/>
    <w:tmpl w:val="0EC2A5E0"/>
    <w:lvl w:ilvl="0" w:tplc="34B43108">
      <w:start w:val="1"/>
      <w:numFmt w:val="bullet"/>
      <w:lvlText w:val="●"/>
      <w:lvlJc w:val="left"/>
      <w:pPr>
        <w:ind w:left="720" w:hanging="360"/>
      </w:pPr>
    </w:lvl>
    <w:lvl w:ilvl="1" w:tplc="5E0A001A">
      <w:start w:val="1"/>
      <w:numFmt w:val="bullet"/>
      <w:lvlText w:val="○"/>
      <w:lvlJc w:val="left"/>
      <w:pPr>
        <w:ind w:left="1440" w:hanging="360"/>
      </w:pPr>
    </w:lvl>
    <w:lvl w:ilvl="2" w:tplc="2892B70C">
      <w:start w:val="1"/>
      <w:numFmt w:val="bullet"/>
      <w:lvlText w:val="■"/>
      <w:lvlJc w:val="left"/>
      <w:pPr>
        <w:ind w:left="2160" w:hanging="360"/>
      </w:pPr>
    </w:lvl>
    <w:lvl w:ilvl="3" w:tplc="C78CFEAA">
      <w:start w:val="1"/>
      <w:numFmt w:val="bullet"/>
      <w:lvlText w:val="●"/>
      <w:lvlJc w:val="left"/>
      <w:pPr>
        <w:ind w:left="2880" w:hanging="360"/>
      </w:pPr>
    </w:lvl>
    <w:lvl w:ilvl="4" w:tplc="87D2F6F6">
      <w:start w:val="1"/>
      <w:numFmt w:val="bullet"/>
      <w:lvlText w:val="○"/>
      <w:lvlJc w:val="left"/>
      <w:pPr>
        <w:ind w:left="3600" w:hanging="360"/>
      </w:pPr>
    </w:lvl>
    <w:lvl w:ilvl="5" w:tplc="07A487BC">
      <w:start w:val="1"/>
      <w:numFmt w:val="bullet"/>
      <w:lvlText w:val="■"/>
      <w:lvlJc w:val="left"/>
      <w:pPr>
        <w:ind w:left="4320" w:hanging="360"/>
      </w:pPr>
    </w:lvl>
    <w:lvl w:ilvl="6" w:tplc="BAB8A734">
      <w:start w:val="1"/>
      <w:numFmt w:val="bullet"/>
      <w:lvlText w:val="●"/>
      <w:lvlJc w:val="left"/>
      <w:pPr>
        <w:ind w:left="5040" w:hanging="360"/>
      </w:pPr>
    </w:lvl>
    <w:lvl w:ilvl="7" w:tplc="ECF27FC4">
      <w:start w:val="1"/>
      <w:numFmt w:val="bullet"/>
      <w:lvlText w:val="●"/>
      <w:lvlJc w:val="left"/>
      <w:pPr>
        <w:ind w:left="5760" w:hanging="360"/>
      </w:pPr>
    </w:lvl>
    <w:lvl w:ilvl="8" w:tplc="FDA0986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91B02A4"/>
    <w:multiLevelType w:val="hybridMultilevel"/>
    <w:tmpl w:val="01743242"/>
    <w:lvl w:ilvl="0" w:tplc="5D060B1C">
      <w:start w:val="1"/>
      <w:numFmt w:val="bullet"/>
      <w:lvlText w:val="–"/>
      <w:lvlJc w:val="left"/>
      <w:pPr>
        <w:ind w:left="700" w:hanging="240"/>
      </w:pPr>
    </w:lvl>
    <w:lvl w:ilvl="1" w:tplc="922C144A">
      <w:numFmt w:val="decimal"/>
      <w:lvlText w:val=""/>
      <w:lvlJc w:val="left"/>
    </w:lvl>
    <w:lvl w:ilvl="2" w:tplc="D95671EE">
      <w:numFmt w:val="decimal"/>
      <w:lvlText w:val=""/>
      <w:lvlJc w:val="left"/>
    </w:lvl>
    <w:lvl w:ilvl="3" w:tplc="40CE926A">
      <w:numFmt w:val="decimal"/>
      <w:lvlText w:val=""/>
      <w:lvlJc w:val="left"/>
    </w:lvl>
    <w:lvl w:ilvl="4" w:tplc="827C3CAE">
      <w:numFmt w:val="decimal"/>
      <w:lvlText w:val=""/>
      <w:lvlJc w:val="left"/>
    </w:lvl>
    <w:lvl w:ilvl="5" w:tplc="714CF6C8">
      <w:numFmt w:val="decimal"/>
      <w:lvlText w:val=""/>
      <w:lvlJc w:val="left"/>
    </w:lvl>
    <w:lvl w:ilvl="6" w:tplc="21CCD16A">
      <w:numFmt w:val="decimal"/>
      <w:lvlText w:val=""/>
      <w:lvlJc w:val="left"/>
    </w:lvl>
    <w:lvl w:ilvl="7" w:tplc="677EB536">
      <w:numFmt w:val="decimal"/>
      <w:lvlText w:val=""/>
      <w:lvlJc w:val="left"/>
    </w:lvl>
    <w:lvl w:ilvl="8" w:tplc="77100AE8">
      <w:numFmt w:val="decimal"/>
      <w:lvlText w:val=""/>
      <w:lvlJc w:val="left"/>
    </w:lvl>
  </w:abstractNum>
  <w:num w:numId="1" w16cid:durableId="82996410">
    <w:abstractNumId w:val="1"/>
    <w:lvlOverride w:ilvl="0">
      <w:startOverride w:val="1"/>
    </w:lvlOverride>
  </w:num>
  <w:num w:numId="2" w16cid:durableId="5969050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F3A"/>
    <w:rsid w:val="000115E9"/>
    <w:rsid w:val="000F3059"/>
    <w:rsid w:val="001C5B58"/>
    <w:rsid w:val="003872A3"/>
    <w:rsid w:val="00395C5B"/>
    <w:rsid w:val="003B47CE"/>
    <w:rsid w:val="00492674"/>
    <w:rsid w:val="00703484"/>
    <w:rsid w:val="00897D28"/>
    <w:rsid w:val="00A73613"/>
    <w:rsid w:val="00AC76AC"/>
    <w:rsid w:val="00B649A3"/>
    <w:rsid w:val="00BE2F91"/>
    <w:rsid w:val="00C20B1C"/>
    <w:rsid w:val="00C5510D"/>
    <w:rsid w:val="00CA3D31"/>
    <w:rsid w:val="00E95F3A"/>
    <w:rsid w:val="00ED2BC6"/>
    <w:rsid w:val="00F01086"/>
    <w:rsid w:val="00F3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8589"/>
  <w15:docId w15:val="{43277505-8E48-4C8D-8AAC-E41AD4F0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sk-SK" w:eastAsia="sk-SK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360" w:after="160"/>
      <w:outlineLvl w:val="0"/>
    </w:pPr>
    <w:rPr>
      <w:b/>
      <w:bCs/>
      <w:color w:val="1F3864"/>
      <w:sz w:val="28"/>
      <w:szCs w:val="28"/>
    </w:rPr>
  </w:style>
  <w:style w:type="paragraph" w:styleId="Nadpis2">
    <w:name w:val="heading 2"/>
    <w:uiPriority w:val="9"/>
    <w:unhideWhenUsed/>
    <w:qFormat/>
    <w:pPr>
      <w:spacing w:before="240"/>
      <w:outlineLvl w:val="1"/>
    </w:pPr>
    <w:rPr>
      <w:b/>
      <w:bCs/>
      <w:color w:val="2E5395"/>
      <w:sz w:val="24"/>
      <w:szCs w:val="24"/>
    </w:rPr>
  </w:style>
  <w:style w:type="paragraph" w:styleId="Nadpis3">
    <w:name w:val="heading 3"/>
    <w:uiPriority w:val="9"/>
    <w:semiHidden/>
    <w:unhideWhenUsed/>
    <w:qFormat/>
    <w:pPr>
      <w:spacing w:before="180" w:after="100"/>
      <w:outlineLvl w:val="2"/>
    </w:pPr>
    <w:rPr>
      <w:b/>
      <w:bCs/>
      <w:color w:val="000000"/>
      <w:sz w:val="22"/>
      <w:szCs w:val="22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F3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3059"/>
  </w:style>
  <w:style w:type="paragraph" w:styleId="Pta">
    <w:name w:val="footer"/>
    <w:basedOn w:val="Normlny"/>
    <w:link w:val="PtaChar"/>
    <w:uiPriority w:val="99"/>
    <w:unhideWhenUsed/>
    <w:rsid w:val="000F3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Klačko</dc:creator>
  <cp:lastModifiedBy>Martin Klačko</cp:lastModifiedBy>
  <cp:revision>12</cp:revision>
  <dcterms:created xsi:type="dcterms:W3CDTF">2026-09-14T09:20:00Z</dcterms:created>
  <dcterms:modified xsi:type="dcterms:W3CDTF">2026-09-18T16:25:00Z</dcterms:modified>
</cp:coreProperties>
</file>