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E80F4" w14:textId="77777777" w:rsidR="009E47D5" w:rsidRPr="0031390B" w:rsidRDefault="009E47D5" w:rsidP="009E47D5">
      <w:pPr>
        <w:pStyle w:val="Zkladntext"/>
        <w:spacing w:after="120" w:line="276" w:lineRule="auto"/>
        <w:jc w:val="center"/>
        <w:rPr>
          <w:rFonts w:ascii="Aptos" w:hAnsi="Aptos" w:cs="Segoe UI"/>
          <w:b/>
          <w:caps/>
          <w:sz w:val="26"/>
          <w:szCs w:val="26"/>
        </w:rPr>
      </w:pPr>
      <w:r w:rsidRPr="0031390B">
        <w:rPr>
          <w:rFonts w:ascii="Aptos" w:hAnsi="Aptos" w:cs="Segoe UI"/>
          <w:b/>
          <w:caps/>
          <w:sz w:val="26"/>
          <w:szCs w:val="26"/>
        </w:rPr>
        <w:t>Příloha k nabídce</w:t>
      </w:r>
    </w:p>
    <w:p w14:paraId="6EC5D86B" w14:textId="77777777" w:rsidR="009E47D5" w:rsidRPr="0031390B" w:rsidRDefault="00892664" w:rsidP="009E47D5">
      <w:pPr>
        <w:pStyle w:val="Zkladntext"/>
        <w:spacing w:line="276" w:lineRule="auto"/>
        <w:rPr>
          <w:rFonts w:ascii="Aptos" w:hAnsi="Aptos" w:cs="Segoe UI"/>
          <w:sz w:val="22"/>
          <w:szCs w:val="22"/>
        </w:rPr>
      </w:pPr>
      <w:r w:rsidRPr="0031390B">
        <w:rPr>
          <w:rFonts w:ascii="Aptos" w:hAnsi="Aptos" w:cs="Segoe UI"/>
          <w:sz w:val="22"/>
          <w:szCs w:val="22"/>
          <w:highlight w:val="yellow"/>
        </w:rPr>
        <w:fldChar w:fldCharType="begin">
          <w:ffData>
            <w:name w:val="Text47"/>
            <w:enabled/>
            <w:calcOnExit w:val="0"/>
            <w:textInput>
              <w:default w:val="[Pozn. pro dodavatele: modře označené údaje zadávací dokumentace musí být doplněny dodavatelem před podáním nabídky. Text v této závorce bude vypuštěn.]"/>
            </w:textInput>
          </w:ffData>
        </w:fldChar>
      </w:r>
      <w:r w:rsidR="0079062F" w:rsidRPr="0031390B">
        <w:rPr>
          <w:rFonts w:ascii="Aptos" w:hAnsi="Aptos" w:cs="Segoe UI"/>
          <w:sz w:val="22"/>
          <w:szCs w:val="22"/>
          <w:highlight w:val="yellow"/>
        </w:rPr>
        <w:instrText xml:space="preserve"> </w:instrText>
      </w:r>
      <w:bookmarkStart w:id="0" w:name="Text47"/>
      <w:r w:rsidR="0079062F" w:rsidRPr="0031390B">
        <w:rPr>
          <w:rFonts w:ascii="Aptos" w:hAnsi="Aptos" w:cs="Segoe UI"/>
          <w:sz w:val="22"/>
          <w:szCs w:val="22"/>
          <w:highlight w:val="yellow"/>
        </w:rPr>
        <w:instrText xml:space="preserve">FORMTEXT </w:instrText>
      </w:r>
      <w:r w:rsidRPr="0031390B">
        <w:rPr>
          <w:rFonts w:ascii="Aptos" w:hAnsi="Aptos" w:cs="Segoe UI"/>
          <w:sz w:val="22"/>
          <w:szCs w:val="22"/>
          <w:highlight w:val="yellow"/>
        </w:rPr>
      </w:r>
      <w:r w:rsidRPr="0031390B">
        <w:rPr>
          <w:rFonts w:ascii="Aptos" w:hAnsi="Aptos" w:cs="Segoe UI"/>
          <w:sz w:val="22"/>
          <w:szCs w:val="22"/>
          <w:highlight w:val="yellow"/>
        </w:rPr>
        <w:fldChar w:fldCharType="separate"/>
      </w:r>
      <w:r w:rsidR="0079062F" w:rsidRPr="0031390B">
        <w:rPr>
          <w:rFonts w:ascii="Aptos" w:hAnsi="Aptos" w:cs="Segoe UI"/>
          <w:noProof/>
          <w:sz w:val="22"/>
          <w:szCs w:val="22"/>
          <w:highlight w:val="yellow"/>
        </w:rPr>
        <w:t xml:space="preserve">[Pozn. pro </w:t>
      </w:r>
      <w:r w:rsidR="00E83BA6" w:rsidRPr="0031390B">
        <w:rPr>
          <w:rFonts w:ascii="Aptos" w:hAnsi="Aptos" w:cs="Segoe UI"/>
          <w:noProof/>
          <w:sz w:val="22"/>
          <w:szCs w:val="22"/>
          <w:highlight w:val="yellow"/>
        </w:rPr>
        <w:t>zájemce</w:t>
      </w:r>
      <w:r w:rsidR="00D629BB" w:rsidRPr="0031390B">
        <w:rPr>
          <w:rFonts w:ascii="Aptos" w:hAnsi="Aptos" w:cs="Segoe UI"/>
          <w:noProof/>
          <w:sz w:val="22"/>
          <w:szCs w:val="22"/>
          <w:highlight w:val="yellow"/>
        </w:rPr>
        <w:t>/účastníka</w:t>
      </w:r>
      <w:r w:rsidR="0079062F" w:rsidRPr="0031390B">
        <w:rPr>
          <w:rFonts w:ascii="Aptos" w:hAnsi="Aptos" w:cs="Segoe UI"/>
          <w:noProof/>
          <w:sz w:val="22"/>
          <w:szCs w:val="22"/>
          <w:highlight w:val="yellow"/>
        </w:rPr>
        <w:t xml:space="preserve">: </w:t>
      </w:r>
      <w:r w:rsidR="008F2946" w:rsidRPr="0031390B">
        <w:rPr>
          <w:rFonts w:ascii="Aptos" w:hAnsi="Aptos" w:cs="Segoe UI"/>
          <w:noProof/>
          <w:sz w:val="22"/>
          <w:szCs w:val="22"/>
          <w:highlight w:val="yellow"/>
        </w:rPr>
        <w:t xml:space="preserve">žlutě </w:t>
      </w:r>
      <w:r w:rsidR="0079062F" w:rsidRPr="0031390B">
        <w:rPr>
          <w:rFonts w:ascii="Aptos" w:hAnsi="Aptos" w:cs="Segoe UI"/>
          <w:noProof/>
          <w:sz w:val="22"/>
          <w:szCs w:val="22"/>
          <w:highlight w:val="yellow"/>
        </w:rPr>
        <w:t>označené údaje zadávací dokumentace musí být doplněny dodavatelem před podáním nabídky. Text v této závorce bude vypuštěn.]</w:t>
      </w:r>
      <w:r w:rsidRPr="0031390B">
        <w:rPr>
          <w:rFonts w:ascii="Aptos" w:hAnsi="Aptos" w:cs="Segoe UI"/>
          <w:sz w:val="22"/>
          <w:szCs w:val="22"/>
          <w:highlight w:val="yellow"/>
        </w:rPr>
        <w:fldChar w:fldCharType="end"/>
      </w:r>
      <w:bookmarkEnd w:id="0"/>
    </w:p>
    <w:p w14:paraId="370C8186" w14:textId="77777777" w:rsidR="00070C30" w:rsidRPr="0031390B" w:rsidRDefault="00070C30" w:rsidP="009E47D5">
      <w:pPr>
        <w:pStyle w:val="Zkladntext"/>
        <w:spacing w:line="276" w:lineRule="auto"/>
        <w:rPr>
          <w:rFonts w:ascii="Aptos" w:hAnsi="Aptos" w:cs="Segoe UI"/>
          <w:sz w:val="22"/>
          <w:szCs w:val="22"/>
        </w:rPr>
      </w:pPr>
    </w:p>
    <w:p w14:paraId="75D1C6DF" w14:textId="2C58C609" w:rsidR="009E47D5" w:rsidRPr="0031390B" w:rsidRDefault="009E47D5" w:rsidP="009E47D5">
      <w:pPr>
        <w:pStyle w:val="Zkladntext"/>
        <w:spacing w:line="276" w:lineRule="auto"/>
        <w:rPr>
          <w:rFonts w:ascii="Aptos" w:hAnsi="Aptos" w:cs="Segoe UI"/>
          <w:b/>
          <w:bCs/>
          <w:sz w:val="22"/>
          <w:szCs w:val="22"/>
        </w:rPr>
      </w:pPr>
      <w:r w:rsidRPr="0031390B">
        <w:rPr>
          <w:rFonts w:ascii="Aptos" w:hAnsi="Aptos" w:cs="Segoe UI"/>
          <w:sz w:val="22"/>
          <w:szCs w:val="22"/>
        </w:rPr>
        <w:t xml:space="preserve">Název díla: </w:t>
      </w:r>
      <w:r w:rsidR="00285BCA" w:rsidRPr="0031390B">
        <w:rPr>
          <w:rFonts w:ascii="Aptos" w:hAnsi="Aptos" w:cs="Segoe UI"/>
          <w:b/>
          <w:bCs/>
          <w:sz w:val="22"/>
          <w:szCs w:val="22"/>
        </w:rPr>
        <w:t xml:space="preserve">Modernizace vozovny </w:t>
      </w:r>
      <w:r w:rsidR="00540F31" w:rsidRPr="0031390B">
        <w:rPr>
          <w:rFonts w:ascii="Aptos" w:hAnsi="Aptos" w:cs="Segoe UI"/>
          <w:b/>
          <w:bCs/>
          <w:sz w:val="22"/>
          <w:szCs w:val="22"/>
        </w:rPr>
        <w:t>Komín</w:t>
      </w:r>
    </w:p>
    <w:p w14:paraId="57415B11" w14:textId="77777777" w:rsidR="00157DA6" w:rsidRPr="0031390B" w:rsidRDefault="00157DA6" w:rsidP="009E47D5">
      <w:pPr>
        <w:pStyle w:val="Zkladntext"/>
        <w:spacing w:before="240" w:after="120" w:line="276" w:lineRule="auto"/>
        <w:rPr>
          <w:rFonts w:ascii="Aptos" w:hAnsi="Aptos" w:cs="Segoe UI"/>
          <w:sz w:val="22"/>
          <w:szCs w:val="22"/>
        </w:rPr>
      </w:pPr>
    </w:p>
    <w:p w14:paraId="692AFC40" w14:textId="140D2496" w:rsidR="00157DA6" w:rsidRPr="0031390B" w:rsidRDefault="009E47D5" w:rsidP="009E47D5">
      <w:pPr>
        <w:pStyle w:val="Zkladntext"/>
        <w:spacing w:before="240" w:after="120" w:line="276" w:lineRule="auto"/>
        <w:rPr>
          <w:rFonts w:ascii="Aptos" w:hAnsi="Aptos" w:cs="Segoe UI"/>
          <w:b/>
          <w:sz w:val="22"/>
          <w:szCs w:val="22"/>
        </w:rPr>
      </w:pPr>
      <w:r w:rsidRPr="0031390B">
        <w:rPr>
          <w:rFonts w:ascii="Aptos" w:hAnsi="Aptos" w:cs="Segoe UI"/>
          <w:sz w:val="22"/>
          <w:szCs w:val="22"/>
        </w:rPr>
        <w:t xml:space="preserve">Následující tabulka </w:t>
      </w:r>
      <w:r w:rsidR="004F124C" w:rsidRPr="0031390B">
        <w:rPr>
          <w:rFonts w:ascii="Aptos" w:hAnsi="Aptos" w:cs="Segoe UI"/>
          <w:sz w:val="22"/>
          <w:szCs w:val="22"/>
        </w:rPr>
        <w:t xml:space="preserve">v druhém sloupci </w:t>
      </w:r>
      <w:r w:rsidRPr="0031390B">
        <w:rPr>
          <w:rFonts w:ascii="Aptos" w:hAnsi="Aptos" w:cs="Segoe UI"/>
          <w:sz w:val="22"/>
          <w:szCs w:val="22"/>
        </w:rPr>
        <w:t xml:space="preserve">odkazuje na </w:t>
      </w:r>
      <w:r w:rsidRPr="0031390B">
        <w:rPr>
          <w:rFonts w:ascii="Aptos" w:hAnsi="Aptos" w:cs="Segoe UI"/>
          <w:b/>
          <w:sz w:val="22"/>
          <w:szCs w:val="22"/>
        </w:rPr>
        <w:t>Smluvní podmínky</w:t>
      </w:r>
      <w:r w:rsidR="00E83BA6" w:rsidRPr="0031390B">
        <w:rPr>
          <w:rFonts w:ascii="Aptos" w:hAnsi="Aptos" w:cs="Segoe UI"/>
          <w:b/>
          <w:sz w:val="22"/>
          <w:szCs w:val="22"/>
        </w:rPr>
        <w:t xml:space="preserve"> (</w:t>
      </w:r>
      <w:r w:rsidR="007D565D" w:rsidRPr="0031390B">
        <w:rPr>
          <w:rFonts w:ascii="Aptos" w:hAnsi="Aptos" w:cs="Segoe UI"/>
          <w:b/>
          <w:sz w:val="22"/>
          <w:szCs w:val="22"/>
        </w:rPr>
        <w:t>„</w:t>
      </w:r>
      <w:r w:rsidR="00E83BA6" w:rsidRPr="0031390B">
        <w:rPr>
          <w:rFonts w:ascii="Aptos" w:hAnsi="Aptos" w:cs="Segoe UI"/>
          <w:b/>
          <w:sz w:val="22"/>
          <w:szCs w:val="22"/>
        </w:rPr>
        <w:t>Podmínky</w:t>
      </w:r>
      <w:r w:rsidR="007D565D" w:rsidRPr="0031390B">
        <w:rPr>
          <w:rFonts w:ascii="Aptos" w:hAnsi="Aptos" w:cs="Segoe UI"/>
          <w:b/>
          <w:sz w:val="22"/>
          <w:szCs w:val="22"/>
        </w:rPr>
        <w:t>“</w:t>
      </w:r>
      <w:r w:rsidR="00E83BA6" w:rsidRPr="0031390B">
        <w:rPr>
          <w:rFonts w:ascii="Aptos" w:hAnsi="Aptos" w:cs="Segoe UI"/>
          <w:b/>
          <w:sz w:val="22"/>
          <w:szCs w:val="22"/>
        </w:rPr>
        <w:t>)</w:t>
      </w:r>
      <w:r w:rsidRPr="0031390B">
        <w:rPr>
          <w:rFonts w:ascii="Aptos" w:hAnsi="Aptos" w:cs="Segoe UI"/>
          <w:b/>
          <w:sz w:val="22"/>
          <w:szCs w:val="22"/>
        </w:rPr>
        <w:t>.</w:t>
      </w:r>
    </w:p>
    <w:p w14:paraId="3F49EAA2" w14:textId="77777777" w:rsidR="00157DA6" w:rsidRPr="0031390B" w:rsidRDefault="00157DA6" w:rsidP="009E47D5">
      <w:pPr>
        <w:pStyle w:val="Zkladntext"/>
        <w:spacing w:before="240" w:after="120" w:line="276" w:lineRule="auto"/>
        <w:rPr>
          <w:rFonts w:ascii="Aptos" w:hAnsi="Aptos" w:cs="Segoe UI"/>
          <w:b/>
          <w:sz w:val="22"/>
          <w:szCs w:val="22"/>
        </w:rPr>
      </w:pP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7"/>
        <w:gridCol w:w="1417"/>
        <w:gridCol w:w="5376"/>
      </w:tblGrid>
      <w:tr w:rsidR="009E47D5" w:rsidRPr="0031390B" w14:paraId="12B296AE" w14:textId="77777777" w:rsidTr="58788088">
        <w:trPr>
          <w:trHeight w:val="147"/>
          <w:tblHeader/>
        </w:trPr>
        <w:tc>
          <w:tcPr>
            <w:tcW w:w="2477" w:type="dxa"/>
            <w:tcBorders>
              <w:top w:val="single" w:sz="4" w:space="0" w:color="auto"/>
              <w:left w:val="single" w:sz="4" w:space="0" w:color="auto"/>
              <w:bottom w:val="single" w:sz="4" w:space="0" w:color="auto"/>
              <w:right w:val="single" w:sz="4" w:space="0" w:color="auto"/>
            </w:tcBorders>
            <w:shd w:val="clear" w:color="auto" w:fill="E6E6E6"/>
            <w:vAlign w:val="center"/>
          </w:tcPr>
          <w:p w14:paraId="76FBE413" w14:textId="77777777" w:rsidR="009E47D5" w:rsidRPr="0031390B" w:rsidRDefault="009E47D5" w:rsidP="001977FF">
            <w:pPr>
              <w:pStyle w:val="Zkladntext"/>
              <w:spacing w:line="276" w:lineRule="auto"/>
              <w:jc w:val="center"/>
              <w:rPr>
                <w:rFonts w:ascii="Aptos" w:hAnsi="Aptos" w:cs="Segoe UI"/>
                <w:b/>
                <w:sz w:val="22"/>
                <w:szCs w:val="22"/>
              </w:rPr>
            </w:pPr>
            <w:r w:rsidRPr="0031390B">
              <w:rPr>
                <w:rFonts w:ascii="Aptos" w:hAnsi="Aptos" w:cs="Segoe UI"/>
                <w:b/>
                <w:sz w:val="22"/>
                <w:szCs w:val="22"/>
              </w:rPr>
              <w:t>Název Pod-článku</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tcPr>
          <w:p w14:paraId="3869B0A1" w14:textId="77777777" w:rsidR="009E47D5" w:rsidRPr="0031390B" w:rsidRDefault="009E47D5" w:rsidP="001977FF">
            <w:pPr>
              <w:pStyle w:val="Zkladntext"/>
              <w:spacing w:line="276" w:lineRule="auto"/>
              <w:jc w:val="center"/>
              <w:rPr>
                <w:rFonts w:ascii="Aptos" w:hAnsi="Aptos" w:cs="Segoe UI"/>
                <w:b/>
                <w:sz w:val="22"/>
                <w:szCs w:val="22"/>
              </w:rPr>
            </w:pPr>
            <w:r w:rsidRPr="0031390B">
              <w:rPr>
                <w:rFonts w:ascii="Aptos" w:hAnsi="Aptos" w:cs="Segoe UI"/>
                <w:b/>
                <w:sz w:val="22"/>
                <w:szCs w:val="22"/>
              </w:rPr>
              <w:t>Číslo Pod-článku</w:t>
            </w:r>
          </w:p>
        </w:tc>
        <w:tc>
          <w:tcPr>
            <w:tcW w:w="5376" w:type="dxa"/>
            <w:tcBorders>
              <w:top w:val="single" w:sz="4" w:space="0" w:color="auto"/>
              <w:left w:val="single" w:sz="4" w:space="0" w:color="auto"/>
              <w:bottom w:val="single" w:sz="4" w:space="0" w:color="auto"/>
              <w:right w:val="single" w:sz="4" w:space="0" w:color="auto"/>
            </w:tcBorders>
            <w:shd w:val="clear" w:color="auto" w:fill="E6E6E6"/>
            <w:vAlign w:val="center"/>
          </w:tcPr>
          <w:p w14:paraId="49A9D08D" w14:textId="77777777" w:rsidR="009E47D5" w:rsidRPr="0031390B" w:rsidRDefault="009E47D5" w:rsidP="008712E4">
            <w:pPr>
              <w:pStyle w:val="Zkladntext"/>
              <w:spacing w:line="276" w:lineRule="auto"/>
              <w:jc w:val="center"/>
              <w:rPr>
                <w:rFonts w:ascii="Aptos" w:hAnsi="Aptos" w:cs="Segoe UI"/>
                <w:b/>
                <w:sz w:val="22"/>
                <w:szCs w:val="22"/>
              </w:rPr>
            </w:pPr>
            <w:r w:rsidRPr="0031390B">
              <w:rPr>
                <w:rFonts w:ascii="Aptos" w:hAnsi="Aptos" w:cs="Segoe UI"/>
                <w:b/>
                <w:sz w:val="22"/>
                <w:szCs w:val="22"/>
              </w:rPr>
              <w:t>Údaje</w:t>
            </w:r>
          </w:p>
        </w:tc>
      </w:tr>
      <w:tr w:rsidR="009E47D5" w:rsidRPr="0031390B" w14:paraId="7492C944" w14:textId="77777777" w:rsidTr="58788088">
        <w:trPr>
          <w:trHeight w:val="147"/>
        </w:trPr>
        <w:tc>
          <w:tcPr>
            <w:tcW w:w="2477" w:type="dxa"/>
            <w:tcBorders>
              <w:top w:val="single" w:sz="4" w:space="0" w:color="auto"/>
            </w:tcBorders>
            <w:vAlign w:val="center"/>
          </w:tcPr>
          <w:p w14:paraId="684B4270" w14:textId="77777777" w:rsidR="009E47D5" w:rsidRPr="0031390B" w:rsidRDefault="009E47D5" w:rsidP="001977FF">
            <w:pPr>
              <w:pStyle w:val="Zkladntext"/>
              <w:spacing w:line="276" w:lineRule="auto"/>
              <w:jc w:val="left"/>
              <w:rPr>
                <w:rFonts w:ascii="Aptos" w:hAnsi="Aptos" w:cs="Segoe UI"/>
                <w:b/>
                <w:sz w:val="22"/>
                <w:szCs w:val="22"/>
              </w:rPr>
            </w:pPr>
            <w:r w:rsidRPr="0031390B">
              <w:rPr>
                <w:rFonts w:ascii="Aptos" w:hAnsi="Aptos" w:cs="Segoe UI"/>
                <w:b/>
                <w:sz w:val="22"/>
                <w:szCs w:val="22"/>
              </w:rPr>
              <w:t>Název</w:t>
            </w:r>
            <w:r w:rsidR="00E83BA6" w:rsidRPr="0031390B">
              <w:rPr>
                <w:rFonts w:ascii="Aptos" w:hAnsi="Aptos" w:cs="Segoe UI"/>
                <w:b/>
                <w:sz w:val="22"/>
                <w:szCs w:val="22"/>
              </w:rPr>
              <w:t>,</w:t>
            </w:r>
            <w:r w:rsidRPr="0031390B">
              <w:rPr>
                <w:rFonts w:ascii="Aptos" w:hAnsi="Aptos" w:cs="Segoe UI"/>
                <w:b/>
                <w:sz w:val="22"/>
                <w:szCs w:val="22"/>
              </w:rPr>
              <w:t xml:space="preserve"> adresa </w:t>
            </w:r>
            <w:r w:rsidR="00E83BA6" w:rsidRPr="0031390B">
              <w:rPr>
                <w:rFonts w:ascii="Aptos" w:hAnsi="Aptos" w:cs="Segoe UI"/>
                <w:b/>
                <w:sz w:val="22"/>
                <w:szCs w:val="22"/>
              </w:rPr>
              <w:t xml:space="preserve">a IČO </w:t>
            </w:r>
            <w:r w:rsidRPr="0031390B">
              <w:rPr>
                <w:rFonts w:ascii="Aptos" w:hAnsi="Aptos" w:cs="Segoe UI"/>
                <w:b/>
                <w:sz w:val="22"/>
                <w:szCs w:val="22"/>
              </w:rPr>
              <w:t>Objednatele</w:t>
            </w:r>
          </w:p>
          <w:p w14:paraId="2A40A97E" w14:textId="77777777" w:rsidR="001622F7" w:rsidRPr="0031390B" w:rsidRDefault="001622F7" w:rsidP="001977FF">
            <w:pPr>
              <w:pStyle w:val="Zkladntext"/>
              <w:spacing w:line="276" w:lineRule="auto"/>
              <w:jc w:val="left"/>
              <w:rPr>
                <w:rFonts w:ascii="Aptos" w:hAnsi="Aptos" w:cs="Segoe UI"/>
                <w:b/>
                <w:sz w:val="22"/>
                <w:szCs w:val="22"/>
              </w:rPr>
            </w:pPr>
          </w:p>
          <w:p w14:paraId="0DB30258" w14:textId="77777777" w:rsidR="001622F7" w:rsidRPr="0031390B" w:rsidRDefault="001622F7" w:rsidP="001977FF">
            <w:pPr>
              <w:pStyle w:val="Zkladntext"/>
              <w:spacing w:line="276" w:lineRule="auto"/>
              <w:jc w:val="left"/>
              <w:rPr>
                <w:rFonts w:ascii="Aptos" w:hAnsi="Aptos" w:cs="Segoe UI"/>
                <w:b/>
                <w:sz w:val="22"/>
                <w:szCs w:val="22"/>
              </w:rPr>
            </w:pPr>
          </w:p>
        </w:tc>
        <w:tc>
          <w:tcPr>
            <w:tcW w:w="1417" w:type="dxa"/>
            <w:tcBorders>
              <w:top w:val="single" w:sz="4" w:space="0" w:color="auto"/>
            </w:tcBorders>
            <w:vAlign w:val="center"/>
          </w:tcPr>
          <w:p w14:paraId="276DACF5" w14:textId="77777777" w:rsidR="009E47D5" w:rsidRPr="0031390B" w:rsidRDefault="009E47D5" w:rsidP="001977FF">
            <w:pPr>
              <w:pStyle w:val="Zkladntext"/>
              <w:spacing w:line="276" w:lineRule="auto"/>
              <w:jc w:val="left"/>
              <w:rPr>
                <w:rFonts w:ascii="Aptos" w:hAnsi="Aptos" w:cs="Segoe UI"/>
                <w:sz w:val="22"/>
                <w:szCs w:val="22"/>
              </w:rPr>
            </w:pPr>
            <w:r w:rsidRPr="0031390B">
              <w:rPr>
                <w:rFonts w:ascii="Aptos" w:hAnsi="Aptos" w:cs="Segoe UI"/>
                <w:sz w:val="22"/>
                <w:szCs w:val="22"/>
              </w:rPr>
              <w:t>1.1.2.2, 1.3</w:t>
            </w:r>
          </w:p>
        </w:tc>
        <w:tc>
          <w:tcPr>
            <w:tcW w:w="5376" w:type="dxa"/>
            <w:tcBorders>
              <w:top w:val="single" w:sz="4" w:space="0" w:color="auto"/>
            </w:tcBorders>
            <w:vAlign w:val="center"/>
          </w:tcPr>
          <w:p w14:paraId="5E78DC26" w14:textId="70D0846C" w:rsidR="00E83BA6" w:rsidRPr="0031390B" w:rsidRDefault="00285BCA" w:rsidP="00E83BA6">
            <w:pPr>
              <w:pStyle w:val="Zkladntext"/>
              <w:spacing w:line="276" w:lineRule="auto"/>
              <w:rPr>
                <w:rFonts w:ascii="Aptos" w:hAnsi="Aptos" w:cs="Segoe UI"/>
                <w:b/>
                <w:sz w:val="22"/>
                <w:szCs w:val="22"/>
              </w:rPr>
            </w:pPr>
            <w:r w:rsidRPr="0031390B">
              <w:rPr>
                <w:rFonts w:ascii="Aptos" w:hAnsi="Aptos" w:cs="Segoe UI"/>
                <w:b/>
                <w:sz w:val="22"/>
                <w:szCs w:val="22"/>
              </w:rPr>
              <w:t>D</w:t>
            </w:r>
            <w:r w:rsidR="00E83BA6" w:rsidRPr="0031390B">
              <w:rPr>
                <w:rFonts w:ascii="Aptos" w:hAnsi="Aptos" w:cs="Segoe UI"/>
                <w:b/>
                <w:sz w:val="22"/>
                <w:szCs w:val="22"/>
              </w:rPr>
              <w:t>opravní podnik města Brna, a. s.</w:t>
            </w:r>
          </w:p>
          <w:p w14:paraId="163118D8" w14:textId="4A9B3455" w:rsidR="0053161B" w:rsidRPr="0031390B" w:rsidRDefault="00E83BA6" w:rsidP="00285BCA">
            <w:pPr>
              <w:pStyle w:val="Zkladntext"/>
              <w:spacing w:line="276" w:lineRule="auto"/>
              <w:rPr>
                <w:rFonts w:ascii="Aptos" w:hAnsi="Aptos" w:cs="Segoe UI"/>
                <w:sz w:val="22"/>
                <w:szCs w:val="22"/>
                <w:highlight w:val="yellow"/>
              </w:rPr>
            </w:pPr>
            <w:r w:rsidRPr="0031390B">
              <w:rPr>
                <w:rFonts w:ascii="Aptos" w:hAnsi="Aptos" w:cs="Segoe UI"/>
                <w:sz w:val="22"/>
                <w:szCs w:val="22"/>
              </w:rPr>
              <w:t>se sídlem Hlinky 64/151, Pisárky, 603 00 Brno, IČO: 25508881</w:t>
            </w:r>
          </w:p>
        </w:tc>
      </w:tr>
      <w:tr w:rsidR="009E47D5" w:rsidRPr="0031390B" w14:paraId="754A62D6" w14:textId="77777777" w:rsidTr="58788088">
        <w:trPr>
          <w:trHeight w:val="147"/>
        </w:trPr>
        <w:tc>
          <w:tcPr>
            <w:tcW w:w="2477" w:type="dxa"/>
            <w:vAlign w:val="center"/>
          </w:tcPr>
          <w:p w14:paraId="3E403BC0" w14:textId="77777777" w:rsidR="009E47D5" w:rsidRPr="0031390B" w:rsidRDefault="009E47D5" w:rsidP="00D629BB">
            <w:pPr>
              <w:pStyle w:val="Zkladntext"/>
              <w:spacing w:line="276" w:lineRule="auto"/>
              <w:jc w:val="left"/>
              <w:rPr>
                <w:rFonts w:ascii="Aptos" w:hAnsi="Aptos" w:cs="Segoe UI"/>
                <w:b/>
                <w:sz w:val="22"/>
                <w:szCs w:val="22"/>
              </w:rPr>
            </w:pPr>
            <w:r w:rsidRPr="0031390B">
              <w:rPr>
                <w:rFonts w:ascii="Aptos" w:hAnsi="Aptos" w:cs="Segoe UI"/>
                <w:b/>
                <w:sz w:val="22"/>
                <w:szCs w:val="22"/>
              </w:rPr>
              <w:t>Název</w:t>
            </w:r>
            <w:r w:rsidR="00D629BB" w:rsidRPr="0031390B">
              <w:rPr>
                <w:rFonts w:ascii="Aptos" w:hAnsi="Aptos" w:cs="Segoe UI"/>
                <w:b/>
                <w:sz w:val="22"/>
                <w:szCs w:val="22"/>
              </w:rPr>
              <w:t>,</w:t>
            </w:r>
            <w:r w:rsidRPr="0031390B">
              <w:rPr>
                <w:rFonts w:ascii="Aptos" w:hAnsi="Aptos" w:cs="Segoe UI"/>
                <w:b/>
                <w:sz w:val="22"/>
                <w:szCs w:val="22"/>
              </w:rPr>
              <w:t xml:space="preserve"> adresa </w:t>
            </w:r>
            <w:r w:rsidR="00D629BB" w:rsidRPr="0031390B">
              <w:rPr>
                <w:rFonts w:ascii="Aptos" w:hAnsi="Aptos" w:cs="Segoe UI"/>
                <w:b/>
                <w:sz w:val="22"/>
                <w:szCs w:val="22"/>
              </w:rPr>
              <w:t xml:space="preserve">a IČO </w:t>
            </w:r>
            <w:r w:rsidRPr="0031390B">
              <w:rPr>
                <w:rFonts w:ascii="Aptos" w:hAnsi="Aptos" w:cs="Segoe UI"/>
                <w:b/>
                <w:sz w:val="22"/>
                <w:szCs w:val="22"/>
              </w:rPr>
              <w:t>Zhotovitele</w:t>
            </w:r>
          </w:p>
        </w:tc>
        <w:tc>
          <w:tcPr>
            <w:tcW w:w="1417" w:type="dxa"/>
            <w:vAlign w:val="center"/>
          </w:tcPr>
          <w:p w14:paraId="41410CF1" w14:textId="77777777" w:rsidR="009E47D5" w:rsidRPr="0031390B" w:rsidRDefault="009E47D5" w:rsidP="001977FF">
            <w:pPr>
              <w:pStyle w:val="Zkladntext"/>
              <w:spacing w:line="276" w:lineRule="auto"/>
              <w:jc w:val="left"/>
              <w:rPr>
                <w:rFonts w:ascii="Aptos" w:hAnsi="Aptos" w:cs="Segoe UI"/>
                <w:sz w:val="22"/>
                <w:szCs w:val="22"/>
              </w:rPr>
            </w:pPr>
            <w:r w:rsidRPr="0031390B">
              <w:rPr>
                <w:rFonts w:ascii="Aptos" w:hAnsi="Aptos" w:cs="Segoe UI"/>
                <w:sz w:val="22"/>
                <w:szCs w:val="22"/>
              </w:rPr>
              <w:t>1.1.2.3, 1.3</w:t>
            </w:r>
          </w:p>
        </w:tc>
        <w:tc>
          <w:tcPr>
            <w:tcW w:w="5376" w:type="dxa"/>
            <w:vAlign w:val="center"/>
          </w:tcPr>
          <w:p w14:paraId="779A4B5F" w14:textId="77777777" w:rsidR="00CD251F" w:rsidRPr="0031390B" w:rsidRDefault="00892664" w:rsidP="00D629BB">
            <w:pPr>
              <w:spacing w:before="60" w:after="60" w:line="276" w:lineRule="auto"/>
              <w:jc w:val="both"/>
              <w:rPr>
                <w:rFonts w:ascii="Aptos" w:hAnsi="Aptos" w:cs="Segoe UI"/>
                <w:sz w:val="22"/>
                <w:szCs w:val="22"/>
              </w:rPr>
            </w:pPr>
            <w:r w:rsidRPr="0031390B">
              <w:rPr>
                <w:rFonts w:ascii="Aptos" w:hAnsi="Aptos" w:cs="Segoe UI"/>
                <w:sz w:val="22"/>
                <w:szCs w:val="22"/>
                <w:highlight w:val="yellow"/>
              </w:rPr>
              <w:fldChar w:fldCharType="begin">
                <w:ffData>
                  <w:name w:val="Text49"/>
                  <w:enabled/>
                  <w:calcOnExit w:val="0"/>
                  <w:textInput>
                    <w:default w:val="[doplní dodavatel]"/>
                  </w:textInput>
                </w:ffData>
              </w:fldChar>
            </w:r>
            <w:r w:rsidR="0079062F" w:rsidRPr="0031390B">
              <w:rPr>
                <w:rFonts w:ascii="Aptos" w:hAnsi="Aptos" w:cs="Segoe UI"/>
                <w:sz w:val="22"/>
                <w:szCs w:val="22"/>
                <w:highlight w:val="yellow"/>
              </w:rPr>
              <w:instrText xml:space="preserve"> </w:instrText>
            </w:r>
            <w:bookmarkStart w:id="1" w:name="Text49"/>
            <w:r w:rsidR="0079062F" w:rsidRPr="0031390B">
              <w:rPr>
                <w:rFonts w:ascii="Aptos" w:hAnsi="Aptos" w:cs="Segoe UI"/>
                <w:sz w:val="22"/>
                <w:szCs w:val="22"/>
                <w:highlight w:val="yellow"/>
              </w:rPr>
              <w:instrText xml:space="preserve">FORMTEXT </w:instrText>
            </w:r>
            <w:r w:rsidRPr="0031390B">
              <w:rPr>
                <w:rFonts w:ascii="Aptos" w:hAnsi="Aptos" w:cs="Segoe UI"/>
                <w:sz w:val="22"/>
                <w:szCs w:val="22"/>
                <w:highlight w:val="yellow"/>
              </w:rPr>
            </w:r>
            <w:r w:rsidRPr="0031390B">
              <w:rPr>
                <w:rFonts w:ascii="Aptos" w:hAnsi="Aptos" w:cs="Segoe UI"/>
                <w:sz w:val="22"/>
                <w:szCs w:val="22"/>
                <w:highlight w:val="yellow"/>
              </w:rPr>
              <w:fldChar w:fldCharType="separate"/>
            </w:r>
            <w:r w:rsidR="0079062F" w:rsidRPr="0031390B">
              <w:rPr>
                <w:rFonts w:ascii="Aptos" w:hAnsi="Aptos" w:cs="Segoe UI"/>
                <w:sz w:val="22"/>
                <w:szCs w:val="22"/>
                <w:highlight w:val="yellow"/>
              </w:rPr>
              <w:t xml:space="preserve">[doplní </w:t>
            </w:r>
            <w:r w:rsidR="00EE527A" w:rsidRPr="0031390B">
              <w:rPr>
                <w:rFonts w:ascii="Aptos" w:hAnsi="Aptos" w:cs="Segoe UI"/>
                <w:sz w:val="22"/>
                <w:szCs w:val="22"/>
                <w:highlight w:val="yellow"/>
              </w:rPr>
              <w:t>účastník</w:t>
            </w:r>
            <w:r w:rsidR="0079062F" w:rsidRPr="0031390B">
              <w:rPr>
                <w:rFonts w:ascii="Aptos" w:hAnsi="Aptos" w:cs="Segoe UI"/>
                <w:sz w:val="22"/>
                <w:szCs w:val="22"/>
                <w:highlight w:val="yellow"/>
              </w:rPr>
              <w:t>]</w:t>
            </w:r>
            <w:r w:rsidRPr="0031390B">
              <w:rPr>
                <w:rFonts w:ascii="Aptos" w:hAnsi="Aptos" w:cs="Segoe UI"/>
                <w:sz w:val="22"/>
                <w:szCs w:val="22"/>
                <w:highlight w:val="yellow"/>
              </w:rPr>
              <w:fldChar w:fldCharType="end"/>
            </w:r>
            <w:bookmarkEnd w:id="1"/>
          </w:p>
        </w:tc>
      </w:tr>
      <w:tr w:rsidR="00E54AA1" w:rsidRPr="0031390B" w14:paraId="6ECEB41C" w14:textId="77777777" w:rsidTr="58788088">
        <w:trPr>
          <w:trHeight w:val="147"/>
        </w:trPr>
        <w:tc>
          <w:tcPr>
            <w:tcW w:w="2477" w:type="dxa"/>
            <w:vAlign w:val="center"/>
          </w:tcPr>
          <w:p w14:paraId="41BE982A"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Jméno a adresa Správce stavby</w:t>
            </w:r>
          </w:p>
        </w:tc>
        <w:tc>
          <w:tcPr>
            <w:tcW w:w="1417" w:type="dxa"/>
            <w:vAlign w:val="center"/>
          </w:tcPr>
          <w:p w14:paraId="47E056CD"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1.1.2.4.</w:t>
            </w:r>
          </w:p>
          <w:p w14:paraId="046EE49F"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1.3</w:t>
            </w:r>
          </w:p>
        </w:tc>
        <w:tc>
          <w:tcPr>
            <w:tcW w:w="5376" w:type="dxa"/>
            <w:vAlign w:val="center"/>
          </w:tcPr>
          <w:p w14:paraId="1780A917" w14:textId="77777777" w:rsidR="00E54AA1" w:rsidRPr="0031390B" w:rsidRDefault="00E54AA1" w:rsidP="00E54AA1">
            <w:pPr>
              <w:pStyle w:val="Zkladntext"/>
              <w:spacing w:line="276" w:lineRule="auto"/>
              <w:rPr>
                <w:rFonts w:ascii="Aptos" w:hAnsi="Aptos" w:cs="Segoe UI"/>
                <w:b/>
                <w:sz w:val="22"/>
                <w:szCs w:val="22"/>
              </w:rPr>
            </w:pPr>
            <w:r w:rsidRPr="0031390B">
              <w:rPr>
                <w:rFonts w:ascii="Aptos" w:hAnsi="Aptos" w:cs="Segoe UI"/>
                <w:b/>
                <w:sz w:val="22"/>
                <w:szCs w:val="22"/>
              </w:rPr>
              <w:t>Dopravní podnik města Brna, a. s.</w:t>
            </w:r>
          </w:p>
          <w:p w14:paraId="58DB440E" w14:textId="3DE3A19C" w:rsidR="00E54AA1" w:rsidRPr="0031390B" w:rsidRDefault="00E54AA1" w:rsidP="00E54AA1">
            <w:pPr>
              <w:pStyle w:val="Zkladntext"/>
              <w:spacing w:line="276" w:lineRule="auto"/>
              <w:rPr>
                <w:rFonts w:ascii="Aptos" w:hAnsi="Aptos" w:cs="Segoe UI"/>
                <w:sz w:val="22"/>
                <w:szCs w:val="22"/>
              </w:rPr>
            </w:pPr>
            <w:r w:rsidRPr="0031390B">
              <w:rPr>
                <w:rFonts w:ascii="Aptos" w:hAnsi="Aptos" w:cs="Segoe UI"/>
                <w:sz w:val="22"/>
                <w:szCs w:val="22"/>
              </w:rPr>
              <w:t>se sídlem Hlinky 64/151, Pisárky, 603 00 Brno, IČO: 25508881</w:t>
            </w:r>
          </w:p>
        </w:tc>
      </w:tr>
      <w:tr w:rsidR="00E54AA1" w:rsidRPr="0031390B" w14:paraId="4D7A6A20" w14:textId="77777777" w:rsidTr="58788088">
        <w:trPr>
          <w:trHeight w:val="147"/>
        </w:trPr>
        <w:tc>
          <w:tcPr>
            <w:tcW w:w="2477" w:type="dxa"/>
            <w:vAlign w:val="center"/>
          </w:tcPr>
          <w:p w14:paraId="0AE08D03"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Doba pro dokončení</w:t>
            </w:r>
          </w:p>
        </w:tc>
        <w:tc>
          <w:tcPr>
            <w:tcW w:w="1417" w:type="dxa"/>
            <w:vAlign w:val="center"/>
          </w:tcPr>
          <w:p w14:paraId="638E62DC"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1.1.3.3</w:t>
            </w:r>
          </w:p>
          <w:p w14:paraId="687389A8"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8.2</w:t>
            </w:r>
          </w:p>
        </w:tc>
        <w:tc>
          <w:tcPr>
            <w:tcW w:w="5376" w:type="dxa"/>
            <w:vAlign w:val="center"/>
          </w:tcPr>
          <w:p w14:paraId="1E0F0DC5" w14:textId="7DF71C90" w:rsidR="00E54AA1" w:rsidRPr="0031390B" w:rsidRDefault="00E54AA1" w:rsidP="00E54AA1">
            <w:pPr>
              <w:spacing w:before="60" w:after="60" w:line="276" w:lineRule="auto"/>
              <w:jc w:val="both"/>
              <w:rPr>
                <w:rFonts w:ascii="Aptos" w:hAnsi="Aptos" w:cs="Segoe UI"/>
                <w:sz w:val="22"/>
                <w:szCs w:val="22"/>
              </w:rPr>
            </w:pPr>
            <w:bookmarkStart w:id="2" w:name="_Hlk198731795"/>
            <w:r w:rsidRPr="0031390B">
              <w:rPr>
                <w:rFonts w:ascii="Aptos" w:hAnsi="Aptos" w:cs="Segoe UI"/>
                <w:sz w:val="22"/>
                <w:szCs w:val="22"/>
              </w:rPr>
              <w:t>Doba pro dokončení Sekce 1: nejpozději do 28. 6. 2029</w:t>
            </w:r>
          </w:p>
          <w:p w14:paraId="2648AF50" w14:textId="0D81A904" w:rsidR="00E54AA1" w:rsidRPr="0031390B" w:rsidRDefault="00E54AA1" w:rsidP="00E54AA1">
            <w:pPr>
              <w:spacing w:before="60" w:after="60" w:line="276" w:lineRule="auto"/>
              <w:jc w:val="both"/>
              <w:rPr>
                <w:rFonts w:ascii="Aptos" w:hAnsi="Aptos" w:cs="Segoe UI"/>
                <w:sz w:val="22"/>
                <w:szCs w:val="22"/>
                <w:highlight w:val="green"/>
              </w:rPr>
            </w:pPr>
            <w:r w:rsidRPr="0031390B">
              <w:rPr>
                <w:rFonts w:ascii="Aptos" w:hAnsi="Aptos" w:cs="Segoe UI"/>
                <w:sz w:val="22"/>
                <w:szCs w:val="22"/>
              </w:rPr>
              <w:t>Doba pro dokončení Díla: nejpozději do 7. 12. 2029</w:t>
            </w:r>
            <w:bookmarkEnd w:id="2"/>
            <w:r w:rsidR="00655D0E" w:rsidRPr="0031390B">
              <w:rPr>
                <w:rFonts w:ascii="Aptos" w:hAnsi="Aptos" w:cs="Segoe UI"/>
                <w:sz w:val="22"/>
                <w:szCs w:val="22"/>
              </w:rPr>
              <w:t>. Nejpozději k tomuto datu musí být celé Dílo, včetně Sekce 1, zkolaudováno, tj. musí být vydána pravomocná kolaudační rozhodnutí pro všechny části Díla, pro něž jsou podle Právních předpisů vyžadována</w:t>
            </w:r>
          </w:p>
        </w:tc>
      </w:tr>
      <w:tr w:rsidR="00E54AA1" w:rsidRPr="0031390B" w14:paraId="53D60206" w14:textId="77777777" w:rsidTr="58788088">
        <w:trPr>
          <w:trHeight w:val="147"/>
        </w:trPr>
        <w:tc>
          <w:tcPr>
            <w:tcW w:w="2477" w:type="dxa"/>
            <w:vAlign w:val="center"/>
          </w:tcPr>
          <w:p w14:paraId="454979C6" w14:textId="40D8C0E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Termín zahájení Zkušebního provozu Sekce 1</w:t>
            </w:r>
          </w:p>
        </w:tc>
        <w:tc>
          <w:tcPr>
            <w:tcW w:w="1417" w:type="dxa"/>
            <w:vAlign w:val="center"/>
          </w:tcPr>
          <w:p w14:paraId="2ED16950" w14:textId="607C1F10"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8.2, 9.1</w:t>
            </w:r>
          </w:p>
        </w:tc>
        <w:tc>
          <w:tcPr>
            <w:tcW w:w="5376" w:type="dxa"/>
            <w:vAlign w:val="center"/>
          </w:tcPr>
          <w:p w14:paraId="32C1E75F" w14:textId="528D42CE" w:rsidR="00E54AA1" w:rsidRPr="0031390B" w:rsidRDefault="00E54AA1" w:rsidP="00E54AA1">
            <w:pPr>
              <w:spacing w:before="60" w:after="60" w:line="276" w:lineRule="auto"/>
              <w:jc w:val="both"/>
              <w:rPr>
                <w:rFonts w:ascii="Aptos" w:hAnsi="Aptos" w:cs="Segoe UI"/>
                <w:sz w:val="22"/>
                <w:szCs w:val="22"/>
              </w:rPr>
            </w:pPr>
            <w:r w:rsidRPr="0031390B">
              <w:rPr>
                <w:rFonts w:ascii="Aptos" w:hAnsi="Aptos" w:cs="Segoe UI"/>
                <w:sz w:val="22"/>
                <w:szCs w:val="22"/>
              </w:rPr>
              <w:t>Zkušební provoz Sekce 1 musí být zahájen nejpozději dne 29. 6. 2029</w:t>
            </w:r>
          </w:p>
        </w:tc>
      </w:tr>
      <w:tr w:rsidR="00E54AA1" w:rsidRPr="0031390B" w14:paraId="0E233B66" w14:textId="77777777" w:rsidTr="58788088">
        <w:trPr>
          <w:trHeight w:val="576"/>
        </w:trPr>
        <w:tc>
          <w:tcPr>
            <w:tcW w:w="2477" w:type="dxa"/>
            <w:vAlign w:val="center"/>
          </w:tcPr>
          <w:p w14:paraId="6C463433"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Faktura</w:t>
            </w:r>
          </w:p>
        </w:tc>
        <w:tc>
          <w:tcPr>
            <w:tcW w:w="1417" w:type="dxa"/>
            <w:vAlign w:val="center"/>
          </w:tcPr>
          <w:p w14:paraId="5C4D7BEA"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1.1.4.13</w:t>
            </w:r>
          </w:p>
        </w:tc>
        <w:tc>
          <w:tcPr>
            <w:tcW w:w="5376" w:type="dxa"/>
            <w:vAlign w:val="center"/>
          </w:tcPr>
          <w:p w14:paraId="2397B5B9" w14:textId="1180317C"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Smluvní cena bude hrazena na základě faktur vystavených v souladu s Formulářem Rozpis paušálního obnosu Přijaté smluvní částky a v souladu se Smlouvou o dílo</w:t>
            </w:r>
          </w:p>
        </w:tc>
      </w:tr>
      <w:tr w:rsidR="00E54AA1" w:rsidRPr="0031390B" w14:paraId="04C7F819" w14:textId="77777777" w:rsidTr="58788088">
        <w:trPr>
          <w:trHeight w:val="1020"/>
        </w:trPr>
        <w:tc>
          <w:tcPr>
            <w:tcW w:w="2477" w:type="dxa"/>
            <w:vAlign w:val="center"/>
          </w:tcPr>
          <w:p w14:paraId="78AA6C94"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Záruční doba</w:t>
            </w:r>
          </w:p>
        </w:tc>
        <w:tc>
          <w:tcPr>
            <w:tcW w:w="1417" w:type="dxa"/>
            <w:vAlign w:val="center"/>
          </w:tcPr>
          <w:p w14:paraId="3D145045"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1.1.3.7</w:t>
            </w:r>
          </w:p>
        </w:tc>
        <w:tc>
          <w:tcPr>
            <w:tcW w:w="5376" w:type="dxa"/>
            <w:vAlign w:val="center"/>
          </w:tcPr>
          <w:p w14:paraId="4F582D20" w14:textId="0417DA78" w:rsidR="00E54AA1" w:rsidRPr="0031390B" w:rsidRDefault="00E54AA1" w:rsidP="00E54AA1">
            <w:pPr>
              <w:spacing w:before="60" w:afterLines="60" w:after="144" w:line="276" w:lineRule="auto"/>
              <w:jc w:val="both"/>
              <w:rPr>
                <w:rFonts w:ascii="Aptos" w:hAnsi="Aptos" w:cs="Segoe UI"/>
                <w:sz w:val="22"/>
                <w:szCs w:val="22"/>
                <w:highlight w:val="yellow"/>
              </w:rPr>
            </w:pPr>
            <w:r w:rsidRPr="0031390B">
              <w:rPr>
                <w:rFonts w:ascii="Aptos" w:hAnsi="Aptos" w:cs="Segoe UI"/>
                <w:sz w:val="22"/>
                <w:szCs w:val="22"/>
              </w:rPr>
              <w:t>5 let</w:t>
            </w:r>
          </w:p>
        </w:tc>
      </w:tr>
      <w:tr w:rsidR="00E54AA1" w:rsidRPr="0031390B" w14:paraId="542D3B93" w14:textId="77777777" w:rsidTr="00F30C9D">
        <w:trPr>
          <w:trHeight w:val="874"/>
        </w:trPr>
        <w:tc>
          <w:tcPr>
            <w:tcW w:w="2477" w:type="dxa"/>
            <w:vAlign w:val="center"/>
          </w:tcPr>
          <w:p w14:paraId="068597E6"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Elektronické přenosové systémy</w:t>
            </w:r>
          </w:p>
        </w:tc>
        <w:tc>
          <w:tcPr>
            <w:tcW w:w="1417" w:type="dxa"/>
            <w:vAlign w:val="center"/>
          </w:tcPr>
          <w:p w14:paraId="4E210A9A"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1.3.</w:t>
            </w:r>
          </w:p>
        </w:tc>
        <w:tc>
          <w:tcPr>
            <w:tcW w:w="5376" w:type="dxa"/>
            <w:vAlign w:val="center"/>
          </w:tcPr>
          <w:p w14:paraId="64A08AB0" w14:textId="77777777"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Datové schránky</w:t>
            </w:r>
          </w:p>
          <w:p w14:paraId="7DF56C7B" w14:textId="77777777"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ID datové schránky Objednatele: bj6cd4x</w:t>
            </w:r>
          </w:p>
          <w:p w14:paraId="4B4FB620" w14:textId="77777777"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 xml:space="preserve">ID datové schránky Zhotovitele: </w:t>
            </w:r>
            <w:r w:rsidRPr="0031390B">
              <w:rPr>
                <w:rFonts w:ascii="Aptos" w:hAnsi="Aptos" w:cs="Segoe UI"/>
                <w:sz w:val="22"/>
                <w:szCs w:val="22"/>
                <w:highlight w:val="yellow"/>
              </w:rPr>
              <w:t>[doplní účastník]</w:t>
            </w:r>
          </w:p>
          <w:p w14:paraId="4C0AC4D0" w14:textId="1E639DA7"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lastRenderedPageBreak/>
              <w:t>Informační systém projektu dle odst. 3.2.5 Požadavků objednatele</w:t>
            </w:r>
          </w:p>
        </w:tc>
      </w:tr>
      <w:tr w:rsidR="00E54AA1" w:rsidRPr="0031390B" w14:paraId="53F1027D" w14:textId="77777777" w:rsidTr="58788088">
        <w:trPr>
          <w:trHeight w:val="976"/>
        </w:trPr>
        <w:tc>
          <w:tcPr>
            <w:tcW w:w="2477" w:type="dxa"/>
            <w:vAlign w:val="center"/>
          </w:tcPr>
          <w:p w14:paraId="66535256"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lastRenderedPageBreak/>
              <w:t>Rozhodné právo</w:t>
            </w:r>
          </w:p>
        </w:tc>
        <w:tc>
          <w:tcPr>
            <w:tcW w:w="1417" w:type="dxa"/>
            <w:vAlign w:val="center"/>
          </w:tcPr>
          <w:p w14:paraId="258AA893"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1.4.</w:t>
            </w:r>
          </w:p>
        </w:tc>
        <w:tc>
          <w:tcPr>
            <w:tcW w:w="5376" w:type="dxa"/>
            <w:vAlign w:val="center"/>
          </w:tcPr>
          <w:p w14:paraId="5371E87E" w14:textId="77777777"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právo České republiky</w:t>
            </w:r>
          </w:p>
        </w:tc>
      </w:tr>
      <w:tr w:rsidR="00E54AA1" w:rsidRPr="0031390B" w14:paraId="373FCE6A" w14:textId="77777777" w:rsidTr="58788088">
        <w:trPr>
          <w:trHeight w:val="977"/>
        </w:trPr>
        <w:tc>
          <w:tcPr>
            <w:tcW w:w="2477" w:type="dxa"/>
            <w:vAlign w:val="center"/>
          </w:tcPr>
          <w:p w14:paraId="5FF951A5"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Rozhodný jazyk</w:t>
            </w:r>
          </w:p>
        </w:tc>
        <w:tc>
          <w:tcPr>
            <w:tcW w:w="1417" w:type="dxa"/>
            <w:vAlign w:val="center"/>
          </w:tcPr>
          <w:p w14:paraId="7ABE17C8"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1.4.</w:t>
            </w:r>
          </w:p>
        </w:tc>
        <w:tc>
          <w:tcPr>
            <w:tcW w:w="5376" w:type="dxa"/>
            <w:vAlign w:val="center"/>
          </w:tcPr>
          <w:p w14:paraId="69A3429F" w14:textId="77777777"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Čeština</w:t>
            </w:r>
          </w:p>
        </w:tc>
      </w:tr>
      <w:tr w:rsidR="00E54AA1" w:rsidRPr="0031390B" w14:paraId="716EE290" w14:textId="77777777" w:rsidTr="58788088">
        <w:trPr>
          <w:trHeight w:val="977"/>
        </w:trPr>
        <w:tc>
          <w:tcPr>
            <w:tcW w:w="2477" w:type="dxa"/>
            <w:vAlign w:val="center"/>
          </w:tcPr>
          <w:p w14:paraId="25DE8DA1"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Komunikační jazyk</w:t>
            </w:r>
          </w:p>
        </w:tc>
        <w:tc>
          <w:tcPr>
            <w:tcW w:w="1417" w:type="dxa"/>
            <w:vAlign w:val="center"/>
          </w:tcPr>
          <w:p w14:paraId="65EC1A26"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1.4.</w:t>
            </w:r>
          </w:p>
        </w:tc>
        <w:tc>
          <w:tcPr>
            <w:tcW w:w="5376" w:type="dxa"/>
            <w:vAlign w:val="center"/>
          </w:tcPr>
          <w:p w14:paraId="2DB41AA4" w14:textId="77777777"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Čeština</w:t>
            </w:r>
          </w:p>
        </w:tc>
      </w:tr>
      <w:tr w:rsidR="00E54AA1" w:rsidRPr="0031390B" w14:paraId="10FE20D2" w14:textId="77777777" w:rsidTr="58788088">
        <w:trPr>
          <w:trHeight w:val="977"/>
        </w:trPr>
        <w:tc>
          <w:tcPr>
            <w:tcW w:w="2477" w:type="dxa"/>
            <w:vAlign w:val="center"/>
          </w:tcPr>
          <w:p w14:paraId="1CD084C4" w14:textId="2596A67D"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Náklady</w:t>
            </w:r>
          </w:p>
        </w:tc>
        <w:tc>
          <w:tcPr>
            <w:tcW w:w="1417" w:type="dxa"/>
            <w:vAlign w:val="center"/>
          </w:tcPr>
          <w:p w14:paraId="0682228E" w14:textId="662AC9CB"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1.1.4.3</w:t>
            </w:r>
          </w:p>
        </w:tc>
        <w:tc>
          <w:tcPr>
            <w:tcW w:w="5376" w:type="dxa"/>
            <w:vAlign w:val="center"/>
          </w:tcPr>
          <w:p w14:paraId="497462C6" w14:textId="04718176"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 xml:space="preserve">Výše Nákladů bude stanovena podle Metodiky pro kvantifikaci finančních nároků při zpoždění a prodloužení vydané SFDI v aktuálním znění, která je dostupná na </w:t>
            </w:r>
            <w:hyperlink r:id="rId8" w:history="1">
              <w:r w:rsidRPr="0031390B">
                <w:rPr>
                  <w:rStyle w:val="Hypertextovodkaz"/>
                  <w:rFonts w:ascii="Aptos" w:hAnsi="Aptos" w:cs="Segoe UI"/>
                  <w:sz w:val="22"/>
                  <w:szCs w:val="22"/>
                </w:rPr>
                <w:t>https://www.sfdi.cz/pravidla-metodiky-a-ceniky/metodiky</w:t>
              </w:r>
            </w:hyperlink>
          </w:p>
        </w:tc>
      </w:tr>
      <w:tr w:rsidR="00E54AA1" w:rsidRPr="0031390B" w14:paraId="1900178E" w14:textId="77777777" w:rsidTr="58788088">
        <w:trPr>
          <w:trHeight w:val="147"/>
        </w:trPr>
        <w:tc>
          <w:tcPr>
            <w:tcW w:w="2477" w:type="dxa"/>
            <w:vAlign w:val="center"/>
          </w:tcPr>
          <w:p w14:paraId="45F6981C"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Sekce</w:t>
            </w:r>
          </w:p>
        </w:tc>
        <w:tc>
          <w:tcPr>
            <w:tcW w:w="1417" w:type="dxa"/>
            <w:vAlign w:val="center"/>
          </w:tcPr>
          <w:p w14:paraId="2036564C"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1.1.5.6</w:t>
            </w:r>
          </w:p>
        </w:tc>
        <w:tc>
          <w:tcPr>
            <w:tcW w:w="5376" w:type="dxa"/>
            <w:vAlign w:val="center"/>
          </w:tcPr>
          <w:p w14:paraId="5E4B8D98" w14:textId="77777777" w:rsidR="002B7C45" w:rsidRDefault="002B7C45" w:rsidP="002B7C45">
            <w:pPr>
              <w:spacing w:before="60" w:afterLines="60" w:after="144" w:line="276" w:lineRule="auto"/>
              <w:jc w:val="both"/>
              <w:rPr>
                <w:rFonts w:ascii="Aptos" w:hAnsi="Aptos" w:cs="Segoe UI"/>
                <w:iCs/>
                <w:sz w:val="22"/>
                <w:szCs w:val="22"/>
              </w:rPr>
            </w:pPr>
            <w:r w:rsidRPr="0031390B">
              <w:rPr>
                <w:rFonts w:ascii="Aptos" w:hAnsi="Aptos" w:cs="Segoe UI"/>
                <w:b/>
                <w:bCs/>
                <w:iCs/>
                <w:sz w:val="22"/>
                <w:szCs w:val="22"/>
              </w:rPr>
              <w:t>Sekce 1:</w:t>
            </w:r>
            <w:r w:rsidRPr="0031390B">
              <w:rPr>
                <w:rFonts w:ascii="Aptos" w:hAnsi="Aptos" w:cs="Segoe UI"/>
                <w:iCs/>
                <w:sz w:val="22"/>
                <w:szCs w:val="22"/>
              </w:rPr>
              <w:t xml:space="preserve"> veškeré stavební objekty, inženýrské objekty, provozní soubory, Technologická zařízení a ostatní části Díla s výjimkou SO 101.3 – Byty pro zaměstnance, SO 105 – Hasičská zbrojnice, IO 305, IO 405, IO 505, IO 705, IO 805, PS 950, PS 980 a T67 – Technologické zařízení pro sušení hadic, včetně všech souvisejících prací, dodávek, Technologického zařízení a Dokumentů zhotovitele v rozsahu nezbytném pro dokončení a převzetí Sekce 1 a zahájení jejího Zkušebního provozu.</w:t>
            </w:r>
          </w:p>
          <w:p w14:paraId="661A6B13" w14:textId="1E8AA53A" w:rsidR="006C5D0B" w:rsidRDefault="006C5D0B" w:rsidP="002B7C45">
            <w:pPr>
              <w:spacing w:before="60" w:afterLines="60" w:after="144" w:line="276" w:lineRule="auto"/>
              <w:jc w:val="both"/>
              <w:rPr>
                <w:rFonts w:ascii="Aptos" w:hAnsi="Aptos" w:cs="Segoe UI"/>
                <w:iCs/>
                <w:sz w:val="22"/>
                <w:szCs w:val="22"/>
              </w:rPr>
            </w:pPr>
            <w:r w:rsidRPr="0031390B">
              <w:rPr>
                <w:rFonts w:ascii="Aptos" w:hAnsi="Aptos" w:cs="Segoe UI"/>
                <w:iCs/>
                <w:sz w:val="22"/>
                <w:szCs w:val="22"/>
              </w:rPr>
              <w:t>Pro účely předpokládaného spolufinancování Díla z OPD představují výše uvedené části Díla (SO a IO) nezpůsobilé výdaje</w:t>
            </w:r>
            <w:r>
              <w:rPr>
                <w:rFonts w:ascii="Aptos" w:hAnsi="Aptos" w:cs="Segoe UI"/>
                <w:iCs/>
                <w:sz w:val="22"/>
                <w:szCs w:val="22"/>
              </w:rPr>
              <w:t>.</w:t>
            </w:r>
          </w:p>
          <w:p w14:paraId="5F995934" w14:textId="7C6AC4B3" w:rsidR="00E54AA1" w:rsidRPr="0031390B" w:rsidRDefault="00150110" w:rsidP="002B7C45">
            <w:pPr>
              <w:spacing w:before="60" w:afterLines="60" w:after="144" w:line="276" w:lineRule="auto"/>
              <w:jc w:val="both"/>
              <w:rPr>
                <w:rFonts w:ascii="Aptos" w:hAnsi="Aptos" w:cs="Segoe UI"/>
                <w:iCs/>
                <w:sz w:val="22"/>
                <w:szCs w:val="22"/>
              </w:rPr>
            </w:pPr>
            <w:r w:rsidRPr="00150110">
              <w:rPr>
                <w:rFonts w:ascii="Aptos" w:hAnsi="Aptos" w:cs="Segoe UI"/>
                <w:iCs/>
                <w:sz w:val="22"/>
                <w:szCs w:val="22"/>
              </w:rPr>
              <w:t xml:space="preserve">Zařazením výše uvedených částí Díla </w:t>
            </w:r>
            <w:r w:rsidR="00EC4146" w:rsidRPr="00EC4146">
              <w:rPr>
                <w:rFonts w:ascii="Aptos" w:hAnsi="Aptos" w:cs="Segoe UI"/>
                <w:iCs/>
                <w:sz w:val="22"/>
                <w:szCs w:val="22"/>
              </w:rPr>
              <w:t xml:space="preserve">(tj. dotačně nezpůsobilých SO a IO) </w:t>
            </w:r>
            <w:r w:rsidRPr="00150110">
              <w:rPr>
                <w:rFonts w:ascii="Aptos" w:hAnsi="Aptos" w:cs="Segoe UI"/>
                <w:iCs/>
                <w:sz w:val="22"/>
                <w:szCs w:val="22"/>
              </w:rPr>
              <w:t>mimo Sekci 1 není dotčeno jejich provádění v návaznosti na řádný postup provádění Díla a Harmonogram; Zhotovitel je oprávněn tyto části provést a dokončit i před uplynutím Doby pro dokončení Sekce 1</w:t>
            </w:r>
            <w:r w:rsidR="00EC4146">
              <w:rPr>
                <w:rFonts w:ascii="Aptos" w:hAnsi="Aptos" w:cs="Segoe UI"/>
                <w:iCs/>
                <w:sz w:val="22"/>
                <w:szCs w:val="22"/>
              </w:rPr>
              <w:t xml:space="preserve"> </w:t>
            </w:r>
            <w:r w:rsidR="00EC4146" w:rsidRPr="00EC4146">
              <w:rPr>
                <w:rFonts w:ascii="Aptos" w:hAnsi="Aptos" w:cs="Segoe UI"/>
                <w:iCs/>
                <w:sz w:val="22"/>
                <w:szCs w:val="22"/>
              </w:rPr>
              <w:t>nebo před uplynutím Doby pro dokončení Díla</w:t>
            </w:r>
            <w:r w:rsidRPr="00150110">
              <w:rPr>
                <w:rFonts w:ascii="Aptos" w:hAnsi="Aptos" w:cs="Segoe UI"/>
                <w:iCs/>
                <w:sz w:val="22"/>
                <w:szCs w:val="22"/>
              </w:rPr>
              <w:t>. Jejich dokončení však není podmínkou dokončení a převzetí Sekce 1.</w:t>
            </w:r>
          </w:p>
        </w:tc>
      </w:tr>
      <w:tr w:rsidR="00E54AA1" w:rsidRPr="0031390B" w14:paraId="71B84239" w14:textId="77777777" w:rsidTr="58788088">
        <w:trPr>
          <w:trHeight w:val="147"/>
        </w:trPr>
        <w:tc>
          <w:tcPr>
            <w:tcW w:w="2477" w:type="dxa"/>
            <w:vAlign w:val="center"/>
          </w:tcPr>
          <w:p w14:paraId="33945923"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Dílo</w:t>
            </w:r>
          </w:p>
        </w:tc>
        <w:tc>
          <w:tcPr>
            <w:tcW w:w="1417" w:type="dxa"/>
            <w:vAlign w:val="center"/>
          </w:tcPr>
          <w:p w14:paraId="5D2C502E"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1.1.5.8</w:t>
            </w:r>
          </w:p>
        </w:tc>
        <w:tc>
          <w:tcPr>
            <w:tcW w:w="5376" w:type="dxa"/>
            <w:vAlign w:val="center"/>
          </w:tcPr>
          <w:p w14:paraId="080CE4F5" w14:textId="5049D6BD"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Modernizace vozovny Komín</w:t>
            </w:r>
          </w:p>
        </w:tc>
      </w:tr>
      <w:tr w:rsidR="00E54AA1" w:rsidRPr="0031390B" w14:paraId="792CDE90" w14:textId="77777777" w:rsidTr="58788088">
        <w:trPr>
          <w:trHeight w:val="147"/>
        </w:trPr>
        <w:tc>
          <w:tcPr>
            <w:tcW w:w="2477" w:type="dxa"/>
            <w:vAlign w:val="center"/>
          </w:tcPr>
          <w:p w14:paraId="44D17FE4" w14:textId="77777777" w:rsidR="00E54AA1" w:rsidRPr="0031390B" w:rsidRDefault="00E54AA1" w:rsidP="00E54AA1">
            <w:pPr>
              <w:pStyle w:val="Zkladntext"/>
              <w:spacing w:line="276" w:lineRule="auto"/>
              <w:rPr>
                <w:rFonts w:ascii="Aptos" w:hAnsi="Aptos" w:cs="Segoe UI"/>
                <w:b/>
                <w:sz w:val="22"/>
                <w:szCs w:val="22"/>
              </w:rPr>
            </w:pPr>
            <w:r w:rsidRPr="0031390B">
              <w:rPr>
                <w:rFonts w:ascii="Aptos" w:hAnsi="Aptos" w:cs="Segoe UI"/>
                <w:b/>
                <w:sz w:val="22"/>
                <w:szCs w:val="22"/>
              </w:rPr>
              <w:lastRenderedPageBreak/>
              <w:t>Doba pro přístup na Staveniště</w:t>
            </w:r>
          </w:p>
        </w:tc>
        <w:tc>
          <w:tcPr>
            <w:tcW w:w="1417" w:type="dxa"/>
            <w:vAlign w:val="center"/>
          </w:tcPr>
          <w:p w14:paraId="342418FB" w14:textId="77777777" w:rsidR="00E54AA1" w:rsidRPr="0031390B" w:rsidRDefault="00E54AA1" w:rsidP="00E54AA1">
            <w:pPr>
              <w:pStyle w:val="Zkladntext"/>
              <w:spacing w:line="276" w:lineRule="auto"/>
              <w:rPr>
                <w:rFonts w:ascii="Aptos" w:hAnsi="Aptos" w:cs="Segoe UI"/>
                <w:sz w:val="22"/>
                <w:szCs w:val="22"/>
              </w:rPr>
            </w:pPr>
            <w:r w:rsidRPr="0031390B">
              <w:rPr>
                <w:rFonts w:ascii="Aptos" w:hAnsi="Aptos" w:cs="Segoe UI"/>
                <w:sz w:val="22"/>
                <w:szCs w:val="22"/>
              </w:rPr>
              <w:t>2.1</w:t>
            </w:r>
          </w:p>
        </w:tc>
        <w:tc>
          <w:tcPr>
            <w:tcW w:w="5376" w:type="dxa"/>
            <w:vAlign w:val="center"/>
          </w:tcPr>
          <w:p w14:paraId="67DF3624" w14:textId="2013F762"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Objednatel předá Zhotoviteli staveniště ve lhůtě 30 dní od Data zahájení prací na základě předchozí výzvy Zhotovitele. Nevyzve-li Zhotovitel Objednatele k předání Staveniště ve lhůtě 14 dnů od Data zahájení prací, je k předání Staveniště oprávněn vyzvat Objednatel</w:t>
            </w:r>
          </w:p>
        </w:tc>
      </w:tr>
      <w:tr w:rsidR="00E54AA1" w:rsidRPr="0031390B" w14:paraId="4789B9D2" w14:textId="77777777" w:rsidTr="58788088">
        <w:trPr>
          <w:trHeight w:val="839"/>
        </w:trPr>
        <w:tc>
          <w:tcPr>
            <w:tcW w:w="2477" w:type="dxa"/>
            <w:vAlign w:val="center"/>
          </w:tcPr>
          <w:p w14:paraId="49633233" w14:textId="77777777" w:rsidR="00E54AA1" w:rsidRPr="0031390B" w:rsidRDefault="00E54AA1" w:rsidP="00E54AA1">
            <w:pPr>
              <w:pStyle w:val="Zkladntext"/>
              <w:spacing w:line="276" w:lineRule="auto"/>
              <w:rPr>
                <w:rFonts w:ascii="Aptos" w:hAnsi="Aptos" w:cs="Segoe UI"/>
                <w:b/>
                <w:sz w:val="22"/>
                <w:szCs w:val="22"/>
              </w:rPr>
            </w:pPr>
            <w:r w:rsidRPr="0031390B">
              <w:rPr>
                <w:rFonts w:ascii="Aptos" w:hAnsi="Aptos" w:cs="Segoe UI"/>
                <w:b/>
                <w:sz w:val="22"/>
                <w:szCs w:val="22"/>
              </w:rPr>
              <w:t>Výše Záruky za plnění</w:t>
            </w:r>
          </w:p>
        </w:tc>
        <w:tc>
          <w:tcPr>
            <w:tcW w:w="1417" w:type="dxa"/>
            <w:vAlign w:val="center"/>
          </w:tcPr>
          <w:p w14:paraId="7D8999FA" w14:textId="77777777" w:rsidR="00E54AA1" w:rsidRPr="0031390B" w:rsidRDefault="00E54AA1" w:rsidP="00E54AA1">
            <w:pPr>
              <w:pStyle w:val="Zkladntext"/>
              <w:spacing w:line="276" w:lineRule="auto"/>
              <w:rPr>
                <w:rFonts w:ascii="Aptos" w:hAnsi="Aptos" w:cs="Segoe UI"/>
                <w:sz w:val="22"/>
                <w:szCs w:val="22"/>
              </w:rPr>
            </w:pPr>
            <w:r w:rsidRPr="0031390B">
              <w:rPr>
                <w:rFonts w:ascii="Aptos" w:hAnsi="Aptos" w:cs="Segoe UI"/>
                <w:sz w:val="22"/>
                <w:szCs w:val="22"/>
              </w:rPr>
              <w:t>4.2</w:t>
            </w:r>
          </w:p>
        </w:tc>
        <w:tc>
          <w:tcPr>
            <w:tcW w:w="5376" w:type="dxa"/>
            <w:vAlign w:val="center"/>
          </w:tcPr>
          <w:p w14:paraId="22E508A7" w14:textId="39062A11"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10 % z Přijaté smluvní částky (bez DPH), a to formou bankovní záruky</w:t>
            </w:r>
          </w:p>
        </w:tc>
      </w:tr>
      <w:tr w:rsidR="00E54AA1" w:rsidRPr="0031390B" w14:paraId="65986A81" w14:textId="77777777" w:rsidTr="58788088">
        <w:trPr>
          <w:trHeight w:val="147"/>
        </w:trPr>
        <w:tc>
          <w:tcPr>
            <w:tcW w:w="2477" w:type="dxa"/>
            <w:vAlign w:val="center"/>
          </w:tcPr>
          <w:p w14:paraId="09AA8E40" w14:textId="77777777" w:rsidR="00E54AA1" w:rsidRPr="0031390B" w:rsidRDefault="00E54AA1" w:rsidP="00E54AA1">
            <w:pPr>
              <w:pStyle w:val="Zkladntext"/>
              <w:spacing w:line="276" w:lineRule="auto"/>
              <w:rPr>
                <w:rFonts w:ascii="Aptos" w:hAnsi="Aptos" w:cs="Segoe UI"/>
                <w:b/>
                <w:sz w:val="22"/>
                <w:szCs w:val="22"/>
              </w:rPr>
            </w:pPr>
            <w:r w:rsidRPr="0031390B">
              <w:rPr>
                <w:rFonts w:ascii="Aptos" w:hAnsi="Aptos" w:cs="Segoe UI"/>
                <w:b/>
                <w:iCs/>
                <w:sz w:val="22"/>
                <w:szCs w:val="22"/>
              </w:rPr>
              <w:t>Výše Záruky za odstranění vad</w:t>
            </w:r>
          </w:p>
        </w:tc>
        <w:tc>
          <w:tcPr>
            <w:tcW w:w="1417" w:type="dxa"/>
            <w:vAlign w:val="center"/>
          </w:tcPr>
          <w:p w14:paraId="6F1FE25F" w14:textId="369A0C27" w:rsidR="00E54AA1" w:rsidRPr="0031390B" w:rsidRDefault="00E54AA1" w:rsidP="00E54AA1">
            <w:pPr>
              <w:pStyle w:val="Zkladntext"/>
              <w:spacing w:line="276" w:lineRule="auto"/>
              <w:rPr>
                <w:rFonts w:ascii="Aptos" w:hAnsi="Aptos" w:cs="Segoe UI"/>
                <w:sz w:val="22"/>
                <w:szCs w:val="22"/>
              </w:rPr>
            </w:pPr>
            <w:r w:rsidRPr="0031390B">
              <w:rPr>
                <w:rFonts w:ascii="Aptos" w:hAnsi="Aptos" w:cs="Segoe UI"/>
                <w:iCs/>
                <w:sz w:val="22"/>
                <w:szCs w:val="22"/>
              </w:rPr>
              <w:t>4.26</w:t>
            </w:r>
          </w:p>
        </w:tc>
        <w:tc>
          <w:tcPr>
            <w:tcW w:w="5376" w:type="dxa"/>
            <w:vAlign w:val="center"/>
          </w:tcPr>
          <w:p w14:paraId="353C4E66" w14:textId="3C88A23F" w:rsidR="00E54AA1" w:rsidRPr="0031390B" w:rsidRDefault="00E54AA1" w:rsidP="00E54AA1">
            <w:pPr>
              <w:spacing w:before="60" w:afterLines="60" w:after="144" w:line="276" w:lineRule="auto"/>
              <w:jc w:val="both"/>
              <w:rPr>
                <w:rFonts w:ascii="Aptos" w:hAnsi="Aptos" w:cs="Segoe UI"/>
                <w:sz w:val="22"/>
                <w:szCs w:val="22"/>
                <w:highlight w:val="yellow"/>
              </w:rPr>
            </w:pPr>
            <w:r w:rsidRPr="0031390B">
              <w:rPr>
                <w:rFonts w:ascii="Aptos" w:hAnsi="Aptos" w:cs="Segoe UI"/>
                <w:iCs/>
                <w:sz w:val="22"/>
                <w:szCs w:val="22"/>
              </w:rPr>
              <w:t xml:space="preserve"> 5 % z </w:t>
            </w:r>
            <w:r w:rsidRPr="0031390B">
              <w:rPr>
                <w:rFonts w:ascii="Aptos" w:hAnsi="Aptos" w:cs="Segoe UI"/>
                <w:sz w:val="22"/>
                <w:szCs w:val="22"/>
              </w:rPr>
              <w:t>Přijaté smluvní částky (bez DPH), a to formou bankovní záruky</w:t>
            </w:r>
          </w:p>
        </w:tc>
      </w:tr>
      <w:tr w:rsidR="00E54AA1" w:rsidRPr="0031390B" w14:paraId="3E1EA451" w14:textId="77777777" w:rsidTr="58788088">
        <w:trPr>
          <w:trHeight w:val="147"/>
        </w:trPr>
        <w:tc>
          <w:tcPr>
            <w:tcW w:w="2477" w:type="dxa"/>
            <w:vAlign w:val="center"/>
          </w:tcPr>
          <w:p w14:paraId="61B05E92" w14:textId="69832529" w:rsidR="00E54AA1" w:rsidRPr="0031390B" w:rsidRDefault="00E54AA1" w:rsidP="00E54AA1">
            <w:pPr>
              <w:pStyle w:val="Zkladntext"/>
              <w:spacing w:line="276" w:lineRule="auto"/>
              <w:rPr>
                <w:rFonts w:ascii="Aptos" w:hAnsi="Aptos" w:cs="Segoe UI"/>
                <w:b/>
                <w:iCs/>
                <w:sz w:val="22"/>
                <w:szCs w:val="22"/>
              </w:rPr>
            </w:pPr>
            <w:r w:rsidRPr="0031390B">
              <w:rPr>
                <w:rFonts w:ascii="Aptos" w:hAnsi="Aptos" w:cs="Segoe UI"/>
                <w:b/>
                <w:iCs/>
                <w:sz w:val="22"/>
                <w:szCs w:val="22"/>
              </w:rPr>
              <w:t>Postupné závazné milníky</w:t>
            </w:r>
          </w:p>
        </w:tc>
        <w:tc>
          <w:tcPr>
            <w:tcW w:w="1417" w:type="dxa"/>
            <w:vAlign w:val="center"/>
          </w:tcPr>
          <w:p w14:paraId="462901EC" w14:textId="0F73FFF2" w:rsidR="00E54AA1" w:rsidRPr="0031390B" w:rsidRDefault="00E54AA1" w:rsidP="00E54AA1">
            <w:pPr>
              <w:pStyle w:val="Zkladntext"/>
              <w:spacing w:line="276" w:lineRule="auto"/>
              <w:rPr>
                <w:rFonts w:ascii="Aptos" w:hAnsi="Aptos" w:cs="Segoe UI"/>
                <w:iCs/>
                <w:sz w:val="22"/>
                <w:szCs w:val="22"/>
              </w:rPr>
            </w:pPr>
            <w:r w:rsidRPr="0031390B">
              <w:rPr>
                <w:rFonts w:ascii="Aptos" w:hAnsi="Aptos" w:cs="Segoe UI"/>
                <w:iCs/>
                <w:sz w:val="22"/>
                <w:szCs w:val="22"/>
              </w:rPr>
              <w:t>4.29</w:t>
            </w:r>
          </w:p>
        </w:tc>
        <w:tc>
          <w:tcPr>
            <w:tcW w:w="5376" w:type="dxa"/>
            <w:vAlign w:val="center"/>
          </w:tcPr>
          <w:p w14:paraId="2E3B9061" w14:textId="56CAC3FF" w:rsidR="00E54AA1" w:rsidRPr="0031390B" w:rsidRDefault="00E54AA1" w:rsidP="00E54AA1">
            <w:pPr>
              <w:spacing w:before="60" w:afterLines="60" w:after="144" w:line="276" w:lineRule="auto"/>
              <w:jc w:val="both"/>
              <w:rPr>
                <w:rFonts w:ascii="Aptos" w:hAnsi="Aptos" w:cs="Segoe UI"/>
                <w:iCs/>
                <w:sz w:val="22"/>
                <w:szCs w:val="22"/>
              </w:rPr>
            </w:pPr>
            <w:r w:rsidRPr="0031390B">
              <w:rPr>
                <w:rFonts w:ascii="Aptos" w:hAnsi="Aptos" w:cs="Segoe UI"/>
                <w:iCs/>
                <w:sz w:val="22"/>
                <w:szCs w:val="22"/>
              </w:rPr>
              <w:t>Za postupné závazné milníky se považují plnění uvedená v listu „Projektové a inženýrské služby“ Rozpisu paušálního obnosu Přijaté smluvní částky; termínem jejich splnění je termín uvedený u příslušného plnění v tomto Rozpisu</w:t>
            </w:r>
          </w:p>
        </w:tc>
      </w:tr>
      <w:tr w:rsidR="00E54AA1" w:rsidRPr="0031390B" w14:paraId="5E3A1E11" w14:textId="77777777" w:rsidTr="58788088">
        <w:trPr>
          <w:trHeight w:val="147"/>
        </w:trPr>
        <w:tc>
          <w:tcPr>
            <w:tcW w:w="2477" w:type="dxa"/>
            <w:vAlign w:val="center"/>
          </w:tcPr>
          <w:p w14:paraId="792888F4" w14:textId="7C6FE935" w:rsidR="00E54AA1" w:rsidRPr="0031390B" w:rsidRDefault="00E54AA1" w:rsidP="00E54AA1">
            <w:pPr>
              <w:pStyle w:val="Zkladntext"/>
              <w:spacing w:line="276" w:lineRule="auto"/>
              <w:rPr>
                <w:rFonts w:ascii="Aptos" w:hAnsi="Aptos" w:cs="Segoe UI"/>
                <w:b/>
                <w:iCs/>
                <w:sz w:val="22"/>
                <w:szCs w:val="22"/>
              </w:rPr>
            </w:pPr>
            <w:r w:rsidRPr="0031390B">
              <w:rPr>
                <w:rFonts w:ascii="Aptos" w:hAnsi="Aptos" w:cs="Segoe UI"/>
                <w:b/>
                <w:iCs/>
                <w:sz w:val="22"/>
                <w:szCs w:val="22"/>
              </w:rPr>
              <w:t>Smluvní pokuta za prodlení s postupným závazným milníkem</w:t>
            </w:r>
          </w:p>
        </w:tc>
        <w:tc>
          <w:tcPr>
            <w:tcW w:w="1417" w:type="dxa"/>
            <w:vAlign w:val="center"/>
          </w:tcPr>
          <w:p w14:paraId="231AF792" w14:textId="7BB7C85A" w:rsidR="00E54AA1" w:rsidRPr="0031390B" w:rsidRDefault="00E54AA1" w:rsidP="00E54AA1">
            <w:pPr>
              <w:pStyle w:val="Zkladntext"/>
              <w:spacing w:line="276" w:lineRule="auto"/>
              <w:rPr>
                <w:rFonts w:ascii="Aptos" w:hAnsi="Aptos" w:cs="Segoe UI"/>
                <w:iCs/>
                <w:sz w:val="22"/>
                <w:szCs w:val="22"/>
              </w:rPr>
            </w:pPr>
            <w:r w:rsidRPr="0031390B">
              <w:rPr>
                <w:rFonts w:ascii="Aptos" w:hAnsi="Aptos" w:cs="Segoe UI"/>
                <w:iCs/>
                <w:sz w:val="22"/>
                <w:szCs w:val="22"/>
              </w:rPr>
              <w:t>4.29</w:t>
            </w:r>
          </w:p>
        </w:tc>
        <w:tc>
          <w:tcPr>
            <w:tcW w:w="5376" w:type="dxa"/>
            <w:vAlign w:val="center"/>
          </w:tcPr>
          <w:p w14:paraId="5C986A7D" w14:textId="6C470115" w:rsidR="00E54AA1" w:rsidRPr="0031390B" w:rsidRDefault="00E54AA1" w:rsidP="00E54AA1">
            <w:pPr>
              <w:spacing w:before="60" w:afterLines="60" w:after="144" w:line="276" w:lineRule="auto"/>
              <w:jc w:val="both"/>
              <w:rPr>
                <w:rFonts w:ascii="Aptos" w:hAnsi="Aptos" w:cs="Segoe UI"/>
                <w:iCs/>
                <w:sz w:val="22"/>
                <w:szCs w:val="22"/>
              </w:rPr>
            </w:pPr>
            <w:r w:rsidRPr="0031390B">
              <w:rPr>
                <w:rFonts w:ascii="Aptos" w:hAnsi="Aptos" w:cs="Segoe UI"/>
                <w:iCs/>
                <w:sz w:val="22"/>
                <w:szCs w:val="22"/>
              </w:rPr>
              <w:t>100.000 Kč za každý započatý den prodlení se splněním každého jednotlivého postupného závazného milníku</w:t>
            </w:r>
          </w:p>
        </w:tc>
      </w:tr>
      <w:tr w:rsidR="00E54AA1" w:rsidRPr="0031390B" w14:paraId="78F19DCE" w14:textId="77777777" w:rsidTr="58788088">
        <w:trPr>
          <w:trHeight w:val="147"/>
        </w:trPr>
        <w:tc>
          <w:tcPr>
            <w:tcW w:w="2477" w:type="dxa"/>
            <w:vAlign w:val="center"/>
          </w:tcPr>
          <w:p w14:paraId="233AD3B2" w14:textId="77777777" w:rsidR="00E54AA1" w:rsidRPr="0031390B" w:rsidRDefault="00E54AA1" w:rsidP="00E54AA1">
            <w:pPr>
              <w:pStyle w:val="Zkladntext"/>
              <w:spacing w:line="276" w:lineRule="auto"/>
              <w:rPr>
                <w:rFonts w:ascii="Aptos" w:hAnsi="Aptos" w:cs="Segoe UI"/>
                <w:b/>
                <w:iCs/>
                <w:sz w:val="22"/>
                <w:szCs w:val="22"/>
              </w:rPr>
            </w:pPr>
            <w:r w:rsidRPr="0031390B">
              <w:rPr>
                <w:rFonts w:ascii="Aptos" w:hAnsi="Aptos" w:cs="Segoe UI"/>
                <w:b/>
                <w:iCs/>
                <w:sz w:val="22"/>
                <w:szCs w:val="22"/>
              </w:rPr>
              <w:t>Doba pro oznámení o chybě, nedostatku nebo jiné vadě v Požadavcích objednatele nebo v referenčních prvcích</w:t>
            </w:r>
          </w:p>
        </w:tc>
        <w:tc>
          <w:tcPr>
            <w:tcW w:w="1417" w:type="dxa"/>
            <w:vAlign w:val="center"/>
          </w:tcPr>
          <w:p w14:paraId="22D81EAB" w14:textId="77777777" w:rsidR="00E54AA1" w:rsidRPr="0031390B" w:rsidRDefault="00E54AA1" w:rsidP="00E54AA1">
            <w:pPr>
              <w:pStyle w:val="Zkladntext"/>
              <w:spacing w:line="276" w:lineRule="auto"/>
              <w:rPr>
                <w:rFonts w:ascii="Aptos" w:hAnsi="Aptos" w:cs="Segoe UI"/>
                <w:iCs/>
                <w:sz w:val="22"/>
                <w:szCs w:val="22"/>
              </w:rPr>
            </w:pPr>
            <w:r w:rsidRPr="0031390B">
              <w:rPr>
                <w:rFonts w:ascii="Aptos" w:hAnsi="Aptos" w:cs="Segoe UI"/>
                <w:iCs/>
                <w:sz w:val="22"/>
                <w:szCs w:val="22"/>
              </w:rPr>
              <w:t>5.1.</w:t>
            </w:r>
          </w:p>
        </w:tc>
        <w:tc>
          <w:tcPr>
            <w:tcW w:w="5376" w:type="dxa"/>
            <w:vAlign w:val="center"/>
          </w:tcPr>
          <w:p w14:paraId="581D5924" w14:textId="77777777" w:rsidR="00E54AA1" w:rsidRPr="0031390B" w:rsidRDefault="00E54AA1" w:rsidP="00E54AA1">
            <w:pPr>
              <w:spacing w:before="60" w:afterLines="60" w:after="144" w:line="276" w:lineRule="auto"/>
              <w:jc w:val="both"/>
              <w:rPr>
                <w:rFonts w:ascii="Aptos" w:hAnsi="Aptos" w:cs="Segoe UI"/>
                <w:iCs/>
                <w:sz w:val="22"/>
                <w:szCs w:val="22"/>
              </w:rPr>
            </w:pPr>
            <w:r w:rsidRPr="0031390B">
              <w:rPr>
                <w:rFonts w:ascii="Aptos" w:hAnsi="Aptos" w:cs="Segoe UI"/>
                <w:sz w:val="22"/>
                <w:szCs w:val="22"/>
              </w:rPr>
              <w:t>28</w:t>
            </w:r>
            <w:r w:rsidRPr="0031390B">
              <w:rPr>
                <w:rFonts w:ascii="Aptos" w:hAnsi="Aptos" w:cs="Segoe UI"/>
                <w:iCs/>
                <w:sz w:val="22"/>
                <w:szCs w:val="22"/>
              </w:rPr>
              <w:t xml:space="preserve"> dní od Data zahájení prací</w:t>
            </w:r>
          </w:p>
        </w:tc>
      </w:tr>
      <w:tr w:rsidR="00E54AA1" w:rsidRPr="0031390B" w14:paraId="4DB5595C" w14:textId="77777777" w:rsidTr="58788088">
        <w:trPr>
          <w:trHeight w:val="147"/>
        </w:trPr>
        <w:tc>
          <w:tcPr>
            <w:tcW w:w="2477" w:type="dxa"/>
            <w:vAlign w:val="center"/>
          </w:tcPr>
          <w:p w14:paraId="683FDEF8" w14:textId="77777777" w:rsidR="00E54AA1" w:rsidRPr="0031390B" w:rsidRDefault="00E54AA1" w:rsidP="00E54AA1">
            <w:pPr>
              <w:pStyle w:val="Zkladntext"/>
              <w:spacing w:line="276" w:lineRule="auto"/>
              <w:rPr>
                <w:rFonts w:ascii="Aptos" w:hAnsi="Aptos" w:cs="Segoe UI"/>
                <w:b/>
                <w:sz w:val="22"/>
                <w:szCs w:val="22"/>
              </w:rPr>
            </w:pPr>
            <w:r w:rsidRPr="0031390B">
              <w:rPr>
                <w:rFonts w:ascii="Aptos" w:hAnsi="Aptos" w:cs="Segoe UI"/>
                <w:b/>
                <w:sz w:val="22"/>
                <w:szCs w:val="22"/>
              </w:rPr>
              <w:t>Povinnost Zhotovitele zaplatit Objednateli smluvní pokutu</w:t>
            </w:r>
          </w:p>
        </w:tc>
        <w:tc>
          <w:tcPr>
            <w:tcW w:w="1417" w:type="dxa"/>
            <w:vAlign w:val="center"/>
          </w:tcPr>
          <w:p w14:paraId="7559C91A" w14:textId="5E272775"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a)</w:t>
            </w:r>
          </w:p>
        </w:tc>
        <w:tc>
          <w:tcPr>
            <w:tcW w:w="5376" w:type="dxa"/>
            <w:vAlign w:val="center"/>
          </w:tcPr>
          <w:p w14:paraId="6DA2810A" w14:textId="3725DBF0" w:rsidR="00E54AA1" w:rsidRPr="0031390B" w:rsidRDefault="00E54AA1" w:rsidP="00E54AA1">
            <w:pPr>
              <w:spacing w:before="60" w:afterLines="60" w:after="144" w:line="276" w:lineRule="auto"/>
              <w:jc w:val="both"/>
              <w:rPr>
                <w:rFonts w:ascii="Aptos" w:hAnsi="Aptos" w:cs="Segoe UI"/>
                <w:sz w:val="22"/>
                <w:szCs w:val="22"/>
              </w:rPr>
            </w:pPr>
          </w:p>
          <w:p w14:paraId="7296DD68" w14:textId="77777777"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i/>
                <w:sz w:val="22"/>
                <w:szCs w:val="22"/>
              </w:rPr>
              <w:t>Za porušení povinnosti dle posledního odstavce Pod-článku 6.9 [Personál zhotovitele] (povinnost zabezpečit provádění Díla a vybrané činnosti ve výstavbě fyzickými osobami, které získaly potřebná oprávnění);</w:t>
            </w:r>
            <w:r w:rsidRPr="0031390B">
              <w:rPr>
                <w:rFonts w:ascii="Aptos" w:hAnsi="Aptos" w:cs="Segoe UI"/>
                <w:sz w:val="22"/>
                <w:szCs w:val="22"/>
              </w:rPr>
              <w:t xml:space="preserve">  </w:t>
            </w:r>
          </w:p>
          <w:p w14:paraId="526D7F31" w14:textId="20B8CB81" w:rsidR="00E54AA1" w:rsidRPr="0031390B" w:rsidRDefault="00E54AA1" w:rsidP="00E54AA1">
            <w:pPr>
              <w:spacing w:before="60" w:afterLines="60" w:after="144" w:line="276" w:lineRule="auto"/>
              <w:jc w:val="both"/>
              <w:rPr>
                <w:rFonts w:ascii="Aptos" w:hAnsi="Aptos" w:cs="Segoe UI"/>
                <w:sz w:val="22"/>
                <w:szCs w:val="22"/>
              </w:rPr>
            </w:pPr>
            <w:proofErr w:type="gramStart"/>
            <w:r w:rsidRPr="0031390B">
              <w:rPr>
                <w:rFonts w:ascii="Aptos" w:hAnsi="Aptos" w:cs="Segoe UI"/>
                <w:sz w:val="22"/>
                <w:szCs w:val="22"/>
              </w:rPr>
              <w:t>100.000,-</w:t>
            </w:r>
            <w:proofErr w:type="gramEnd"/>
            <w:r w:rsidRPr="0031390B">
              <w:rPr>
                <w:rFonts w:ascii="Aptos" w:hAnsi="Aptos" w:cs="Segoe UI"/>
                <w:sz w:val="22"/>
                <w:szCs w:val="22"/>
              </w:rPr>
              <w:t xml:space="preserve"> Kč za každý jednotlivý případ porušení</w:t>
            </w:r>
          </w:p>
        </w:tc>
      </w:tr>
      <w:tr w:rsidR="00E54AA1" w:rsidRPr="0031390B" w14:paraId="2D243E49" w14:textId="77777777" w:rsidTr="58788088">
        <w:trPr>
          <w:trHeight w:val="147"/>
        </w:trPr>
        <w:tc>
          <w:tcPr>
            <w:tcW w:w="2477" w:type="dxa"/>
            <w:vAlign w:val="center"/>
          </w:tcPr>
          <w:p w14:paraId="6740F4D4"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vAlign w:val="center"/>
          </w:tcPr>
          <w:p w14:paraId="41FD5344" w14:textId="3FD1F320"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b)</w:t>
            </w:r>
          </w:p>
        </w:tc>
        <w:tc>
          <w:tcPr>
            <w:tcW w:w="5376" w:type="dxa"/>
            <w:vAlign w:val="center"/>
          </w:tcPr>
          <w:p w14:paraId="4FA16018" w14:textId="77777777" w:rsidR="00E54AA1" w:rsidRPr="0031390B" w:rsidRDefault="00E54AA1" w:rsidP="00E54AA1">
            <w:pPr>
              <w:spacing w:before="60" w:afterLines="60" w:after="144" w:line="276" w:lineRule="auto"/>
              <w:jc w:val="both"/>
              <w:rPr>
                <w:rFonts w:ascii="Aptos" w:hAnsi="Aptos" w:cs="Segoe UI"/>
                <w:i/>
                <w:sz w:val="22"/>
                <w:szCs w:val="22"/>
              </w:rPr>
            </w:pPr>
            <w:r w:rsidRPr="0031390B">
              <w:rPr>
                <w:rFonts w:ascii="Aptos" w:hAnsi="Aptos" w:cs="Segoe UI"/>
                <w:i/>
                <w:sz w:val="22"/>
                <w:szCs w:val="22"/>
              </w:rPr>
              <w:t>Za neodstranění vady nebo poškození v přiměřené lhůtě určené Objednatelem podle Pod-článku 11.4 [Neúspěšné odstraňování vady]</w:t>
            </w:r>
          </w:p>
          <w:p w14:paraId="1EAB4FE1" w14:textId="2FE6106A" w:rsidR="00E54AA1" w:rsidRPr="0031390B" w:rsidRDefault="00E54AA1" w:rsidP="00E54AA1">
            <w:pPr>
              <w:spacing w:before="60" w:afterLines="60" w:after="144" w:line="276" w:lineRule="auto"/>
              <w:jc w:val="both"/>
              <w:rPr>
                <w:rFonts w:ascii="Aptos" w:hAnsi="Aptos" w:cs="Segoe UI"/>
                <w:sz w:val="22"/>
                <w:szCs w:val="22"/>
              </w:rPr>
            </w:pPr>
            <w:proofErr w:type="gramStart"/>
            <w:r w:rsidRPr="0031390B">
              <w:rPr>
                <w:rFonts w:ascii="Aptos" w:hAnsi="Aptos" w:cs="Segoe UI"/>
                <w:sz w:val="22"/>
                <w:szCs w:val="22"/>
              </w:rPr>
              <w:t>10.000,-</w:t>
            </w:r>
            <w:proofErr w:type="gramEnd"/>
            <w:r w:rsidRPr="0031390B">
              <w:rPr>
                <w:rFonts w:ascii="Aptos" w:hAnsi="Aptos" w:cs="Segoe UI"/>
                <w:sz w:val="22"/>
                <w:szCs w:val="22"/>
              </w:rPr>
              <w:t xml:space="preserve"> Kč za každý započatý den prodlení</w:t>
            </w:r>
          </w:p>
        </w:tc>
      </w:tr>
      <w:tr w:rsidR="00E54AA1" w:rsidRPr="0031390B" w14:paraId="39562DF4" w14:textId="77777777" w:rsidTr="58788088">
        <w:trPr>
          <w:trHeight w:val="599"/>
        </w:trPr>
        <w:tc>
          <w:tcPr>
            <w:tcW w:w="2477" w:type="dxa"/>
            <w:vAlign w:val="center"/>
          </w:tcPr>
          <w:p w14:paraId="62763E4D"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vAlign w:val="center"/>
          </w:tcPr>
          <w:p w14:paraId="6D40EA42" w14:textId="2E5126B6"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c)</w:t>
            </w:r>
          </w:p>
        </w:tc>
        <w:tc>
          <w:tcPr>
            <w:tcW w:w="5376" w:type="dxa"/>
            <w:vAlign w:val="center"/>
          </w:tcPr>
          <w:p w14:paraId="3D86A545" w14:textId="7A568FE7" w:rsidR="00E54AA1" w:rsidRPr="0031390B" w:rsidRDefault="00E54AA1" w:rsidP="00E54AA1">
            <w:pPr>
              <w:spacing w:before="60" w:afterLines="60" w:after="144" w:line="276" w:lineRule="auto"/>
              <w:jc w:val="both"/>
              <w:rPr>
                <w:rFonts w:ascii="Aptos" w:hAnsi="Aptos" w:cs="Segoe UI"/>
                <w:i/>
                <w:sz w:val="22"/>
                <w:szCs w:val="22"/>
              </w:rPr>
            </w:pPr>
            <w:r w:rsidRPr="0031390B">
              <w:rPr>
                <w:rFonts w:ascii="Aptos" w:hAnsi="Aptos" w:cs="Segoe UI"/>
                <w:i/>
                <w:sz w:val="22"/>
                <w:szCs w:val="22"/>
              </w:rPr>
              <w:t xml:space="preserve">Za prodlení s předložením Záruky za odstranění vad dle Pod-článku 4.26 </w:t>
            </w:r>
          </w:p>
          <w:p w14:paraId="22412C88" w14:textId="2497D5C9" w:rsidR="00E54AA1" w:rsidRPr="0031390B" w:rsidRDefault="00E54AA1" w:rsidP="00E54AA1">
            <w:pPr>
              <w:spacing w:before="60" w:afterLines="60" w:after="144" w:line="276" w:lineRule="auto"/>
              <w:jc w:val="both"/>
              <w:rPr>
                <w:rFonts w:ascii="Aptos" w:hAnsi="Aptos" w:cs="Segoe UI"/>
                <w:sz w:val="22"/>
                <w:szCs w:val="22"/>
              </w:rPr>
            </w:pPr>
            <w:proofErr w:type="gramStart"/>
            <w:r w:rsidRPr="0031390B">
              <w:rPr>
                <w:rFonts w:ascii="Aptos" w:hAnsi="Aptos" w:cs="Segoe UI"/>
                <w:sz w:val="22"/>
                <w:szCs w:val="22"/>
              </w:rPr>
              <w:lastRenderedPageBreak/>
              <w:t>100.000,-</w:t>
            </w:r>
            <w:proofErr w:type="gramEnd"/>
            <w:r w:rsidRPr="0031390B">
              <w:rPr>
                <w:rFonts w:ascii="Aptos" w:hAnsi="Aptos" w:cs="Segoe UI"/>
                <w:sz w:val="22"/>
                <w:szCs w:val="22"/>
              </w:rPr>
              <w:t xml:space="preserve"> Kč za každý započatý den prodlení</w:t>
            </w:r>
          </w:p>
        </w:tc>
      </w:tr>
      <w:tr w:rsidR="00E54AA1" w:rsidRPr="0031390B" w14:paraId="3D08F5EE" w14:textId="77777777" w:rsidTr="58788088">
        <w:trPr>
          <w:trHeight w:val="599"/>
        </w:trPr>
        <w:tc>
          <w:tcPr>
            <w:tcW w:w="2477" w:type="dxa"/>
            <w:vAlign w:val="center"/>
          </w:tcPr>
          <w:p w14:paraId="3A2DCD98"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vAlign w:val="center"/>
          </w:tcPr>
          <w:p w14:paraId="0A3525E6" w14:textId="7AEB340E"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c)</w:t>
            </w:r>
          </w:p>
        </w:tc>
        <w:tc>
          <w:tcPr>
            <w:tcW w:w="5376" w:type="dxa"/>
            <w:vAlign w:val="center"/>
          </w:tcPr>
          <w:p w14:paraId="6B5AB6B9" w14:textId="77777777" w:rsidR="00E54AA1" w:rsidRPr="0031390B" w:rsidRDefault="00E54AA1" w:rsidP="00E54AA1">
            <w:pPr>
              <w:spacing w:before="60" w:afterLines="60" w:after="144" w:line="276" w:lineRule="auto"/>
              <w:jc w:val="both"/>
              <w:rPr>
                <w:rFonts w:ascii="Aptos" w:hAnsi="Aptos" w:cs="Segoe UI"/>
                <w:i/>
                <w:sz w:val="22"/>
                <w:szCs w:val="22"/>
              </w:rPr>
            </w:pPr>
            <w:r w:rsidRPr="0031390B">
              <w:rPr>
                <w:rFonts w:ascii="Aptos" w:hAnsi="Aptos" w:cs="Segoe UI"/>
                <w:i/>
                <w:sz w:val="22"/>
                <w:szCs w:val="22"/>
              </w:rPr>
              <w:t>Za prodlení s předložením Záruky za plnění dle Pod-článku 4.2.</w:t>
            </w:r>
          </w:p>
          <w:p w14:paraId="59697060" w14:textId="2BD846A5" w:rsidR="00E54AA1" w:rsidRPr="0031390B" w:rsidRDefault="00E54AA1" w:rsidP="00E54AA1">
            <w:pPr>
              <w:spacing w:before="60" w:afterLines="60" w:after="144" w:line="276" w:lineRule="auto"/>
              <w:jc w:val="both"/>
              <w:rPr>
                <w:rFonts w:ascii="Aptos" w:hAnsi="Aptos" w:cs="Segoe UI"/>
                <w:i/>
                <w:sz w:val="22"/>
                <w:szCs w:val="22"/>
              </w:rPr>
            </w:pPr>
            <w:proofErr w:type="gramStart"/>
            <w:r w:rsidRPr="0031390B">
              <w:rPr>
                <w:rFonts w:ascii="Aptos" w:hAnsi="Aptos" w:cs="Segoe UI"/>
                <w:sz w:val="22"/>
                <w:szCs w:val="22"/>
              </w:rPr>
              <w:t>250.000,-</w:t>
            </w:r>
            <w:proofErr w:type="gramEnd"/>
            <w:r w:rsidRPr="0031390B">
              <w:rPr>
                <w:rFonts w:ascii="Aptos" w:hAnsi="Aptos" w:cs="Segoe UI"/>
                <w:sz w:val="22"/>
                <w:szCs w:val="22"/>
              </w:rPr>
              <w:t xml:space="preserve"> Kč za každý započatý den prodlení</w:t>
            </w:r>
          </w:p>
        </w:tc>
      </w:tr>
      <w:tr w:rsidR="00E54AA1" w:rsidRPr="0031390B" w14:paraId="10F9A3EB" w14:textId="77777777" w:rsidTr="58788088">
        <w:trPr>
          <w:trHeight w:val="599"/>
        </w:trPr>
        <w:tc>
          <w:tcPr>
            <w:tcW w:w="2477" w:type="dxa"/>
            <w:tcBorders>
              <w:top w:val="single" w:sz="4" w:space="0" w:color="auto"/>
              <w:left w:val="single" w:sz="4" w:space="0" w:color="auto"/>
              <w:bottom w:val="single" w:sz="4" w:space="0" w:color="auto"/>
              <w:right w:val="single" w:sz="4" w:space="0" w:color="auto"/>
            </w:tcBorders>
            <w:vAlign w:val="center"/>
          </w:tcPr>
          <w:p w14:paraId="1BCF8A3F"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03F7641D" w14:textId="3F53AACB"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c)</w:t>
            </w:r>
          </w:p>
        </w:tc>
        <w:tc>
          <w:tcPr>
            <w:tcW w:w="5376" w:type="dxa"/>
            <w:tcBorders>
              <w:top w:val="single" w:sz="4" w:space="0" w:color="auto"/>
              <w:left w:val="single" w:sz="4" w:space="0" w:color="auto"/>
              <w:bottom w:val="single" w:sz="4" w:space="0" w:color="auto"/>
              <w:right w:val="single" w:sz="4" w:space="0" w:color="auto"/>
            </w:tcBorders>
            <w:vAlign w:val="center"/>
          </w:tcPr>
          <w:p w14:paraId="6CF220BD" w14:textId="7C683A51" w:rsidR="00E54AA1" w:rsidRPr="0031390B" w:rsidRDefault="00E54AA1" w:rsidP="00E54AA1">
            <w:pPr>
              <w:spacing w:before="60" w:afterLines="60" w:after="144" w:line="276" w:lineRule="auto"/>
              <w:jc w:val="both"/>
              <w:rPr>
                <w:rFonts w:ascii="Aptos" w:hAnsi="Aptos" w:cs="Segoe UI"/>
                <w:i/>
                <w:sz w:val="22"/>
                <w:szCs w:val="22"/>
              </w:rPr>
            </w:pPr>
            <w:r w:rsidRPr="0031390B">
              <w:rPr>
                <w:rFonts w:ascii="Aptos" w:hAnsi="Aptos" w:cs="Segoe UI"/>
                <w:i/>
                <w:sz w:val="22"/>
                <w:szCs w:val="22"/>
              </w:rPr>
              <w:t>Za prodlení s udržováním v platnosti bankovní záruky dle Pod-článku 4.2 nebo Pod-článku 4.26 v požadované výši</w:t>
            </w:r>
          </w:p>
          <w:p w14:paraId="5582AB7C" w14:textId="34A6FB7D" w:rsidR="00E54AA1" w:rsidRPr="0031390B" w:rsidRDefault="00E54AA1" w:rsidP="00E54AA1">
            <w:pPr>
              <w:spacing w:before="60" w:afterLines="60" w:after="144" w:line="276" w:lineRule="auto"/>
              <w:jc w:val="both"/>
              <w:rPr>
                <w:rFonts w:ascii="Aptos" w:hAnsi="Aptos" w:cs="Segoe UI"/>
                <w:i/>
                <w:sz w:val="22"/>
                <w:szCs w:val="22"/>
              </w:rPr>
            </w:pPr>
            <w:proofErr w:type="gramStart"/>
            <w:r w:rsidRPr="0031390B">
              <w:rPr>
                <w:rFonts w:ascii="Aptos" w:hAnsi="Aptos" w:cs="Segoe UI"/>
                <w:sz w:val="22"/>
                <w:szCs w:val="22"/>
              </w:rPr>
              <w:t>100.000,-</w:t>
            </w:r>
            <w:proofErr w:type="gramEnd"/>
            <w:r w:rsidRPr="0031390B">
              <w:rPr>
                <w:rFonts w:ascii="Aptos" w:hAnsi="Aptos" w:cs="Segoe UI"/>
                <w:sz w:val="22"/>
                <w:szCs w:val="22"/>
              </w:rPr>
              <w:t xml:space="preserve"> Kč za každý započatý den prodlení</w:t>
            </w:r>
          </w:p>
        </w:tc>
      </w:tr>
      <w:tr w:rsidR="00E54AA1" w:rsidRPr="0031390B" w14:paraId="1151DAA8" w14:textId="77777777" w:rsidTr="58788088">
        <w:trPr>
          <w:trHeight w:val="599"/>
        </w:trPr>
        <w:tc>
          <w:tcPr>
            <w:tcW w:w="2477" w:type="dxa"/>
            <w:tcBorders>
              <w:top w:val="single" w:sz="4" w:space="0" w:color="auto"/>
              <w:left w:val="single" w:sz="4" w:space="0" w:color="auto"/>
              <w:bottom w:val="single" w:sz="4" w:space="0" w:color="auto"/>
              <w:right w:val="single" w:sz="4" w:space="0" w:color="auto"/>
            </w:tcBorders>
            <w:vAlign w:val="center"/>
          </w:tcPr>
          <w:p w14:paraId="5412291D"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57C026F5" w14:textId="49A79602"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 xml:space="preserve">4.27 d)                                                                                                                                                                                                                                                                                                                                                                                                                                                                                                                                                                                                                                                                                                                                                                                                                                                            </w:t>
            </w:r>
          </w:p>
        </w:tc>
        <w:tc>
          <w:tcPr>
            <w:tcW w:w="5376" w:type="dxa"/>
            <w:tcBorders>
              <w:top w:val="single" w:sz="4" w:space="0" w:color="auto"/>
              <w:left w:val="single" w:sz="4" w:space="0" w:color="auto"/>
              <w:bottom w:val="single" w:sz="4" w:space="0" w:color="auto"/>
              <w:right w:val="single" w:sz="4" w:space="0" w:color="auto"/>
            </w:tcBorders>
            <w:vAlign w:val="center"/>
          </w:tcPr>
          <w:p w14:paraId="32066015" w14:textId="77777777" w:rsidR="00E54AA1" w:rsidRPr="0031390B" w:rsidRDefault="00E54AA1" w:rsidP="00E54AA1">
            <w:pPr>
              <w:spacing w:before="60" w:afterLines="60" w:after="144" w:line="276" w:lineRule="auto"/>
              <w:jc w:val="both"/>
              <w:rPr>
                <w:rFonts w:ascii="Aptos" w:hAnsi="Aptos" w:cs="Segoe UI"/>
                <w:i/>
                <w:sz w:val="22"/>
                <w:szCs w:val="22"/>
              </w:rPr>
            </w:pPr>
            <w:r w:rsidRPr="0031390B">
              <w:rPr>
                <w:rFonts w:ascii="Aptos" w:hAnsi="Aptos" w:cs="Segoe UI"/>
                <w:i/>
                <w:sz w:val="22"/>
                <w:szCs w:val="22"/>
              </w:rPr>
              <w:t>Nepředložení nebo neudržování v platnosti pojistné Smlouvy podle Článku 18</w:t>
            </w:r>
          </w:p>
          <w:p w14:paraId="76BED081" w14:textId="1DCD40A1" w:rsidR="00E54AA1" w:rsidRPr="0031390B" w:rsidRDefault="00E54AA1" w:rsidP="00E54AA1">
            <w:pPr>
              <w:spacing w:before="60" w:afterLines="60" w:after="144" w:line="276" w:lineRule="auto"/>
              <w:jc w:val="both"/>
              <w:rPr>
                <w:rFonts w:ascii="Aptos" w:hAnsi="Aptos" w:cs="Segoe UI"/>
                <w:i/>
                <w:sz w:val="22"/>
                <w:szCs w:val="22"/>
              </w:rPr>
            </w:pPr>
            <w:proofErr w:type="gramStart"/>
            <w:r w:rsidRPr="0031390B">
              <w:rPr>
                <w:rFonts w:ascii="Aptos" w:hAnsi="Aptos" w:cs="Segoe UI"/>
                <w:sz w:val="22"/>
                <w:szCs w:val="22"/>
              </w:rPr>
              <w:t>100.000,-</w:t>
            </w:r>
            <w:proofErr w:type="gramEnd"/>
            <w:r w:rsidRPr="0031390B">
              <w:rPr>
                <w:rFonts w:ascii="Aptos" w:hAnsi="Aptos" w:cs="Segoe UI"/>
                <w:sz w:val="22"/>
                <w:szCs w:val="22"/>
              </w:rPr>
              <w:t xml:space="preserve"> Kč za každý započatý den prodlení</w:t>
            </w:r>
          </w:p>
        </w:tc>
      </w:tr>
      <w:tr w:rsidR="00E54AA1" w:rsidRPr="0031390B" w14:paraId="3A2EBC93" w14:textId="77777777" w:rsidTr="58788088">
        <w:trPr>
          <w:trHeight w:val="599"/>
        </w:trPr>
        <w:tc>
          <w:tcPr>
            <w:tcW w:w="2477" w:type="dxa"/>
            <w:tcBorders>
              <w:top w:val="single" w:sz="4" w:space="0" w:color="auto"/>
              <w:left w:val="single" w:sz="4" w:space="0" w:color="auto"/>
              <w:bottom w:val="single" w:sz="4" w:space="0" w:color="auto"/>
              <w:right w:val="single" w:sz="4" w:space="0" w:color="auto"/>
            </w:tcBorders>
            <w:vAlign w:val="center"/>
          </w:tcPr>
          <w:p w14:paraId="0C3E0C5E"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436D2181" w14:textId="06F8D1BC"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e)</w:t>
            </w:r>
          </w:p>
        </w:tc>
        <w:tc>
          <w:tcPr>
            <w:tcW w:w="5376" w:type="dxa"/>
            <w:tcBorders>
              <w:top w:val="single" w:sz="4" w:space="0" w:color="auto"/>
              <w:left w:val="single" w:sz="4" w:space="0" w:color="auto"/>
              <w:bottom w:val="single" w:sz="4" w:space="0" w:color="auto"/>
              <w:right w:val="single" w:sz="4" w:space="0" w:color="auto"/>
            </w:tcBorders>
            <w:vAlign w:val="center"/>
          </w:tcPr>
          <w:p w14:paraId="1B3FB4F6" w14:textId="77777777" w:rsidR="00E54AA1" w:rsidRPr="0031390B" w:rsidRDefault="00E54AA1" w:rsidP="00E54AA1">
            <w:pPr>
              <w:spacing w:before="60" w:afterLines="60" w:after="144" w:line="276" w:lineRule="auto"/>
              <w:jc w:val="both"/>
              <w:rPr>
                <w:rFonts w:ascii="Aptos" w:hAnsi="Aptos" w:cs="Segoe UI"/>
                <w:i/>
                <w:sz w:val="22"/>
                <w:szCs w:val="22"/>
              </w:rPr>
            </w:pPr>
            <w:r w:rsidRPr="0031390B">
              <w:rPr>
                <w:rFonts w:ascii="Aptos" w:hAnsi="Aptos" w:cs="Segoe UI"/>
                <w:i/>
                <w:sz w:val="22"/>
                <w:szCs w:val="22"/>
              </w:rPr>
              <w:t>Za nepředložení počátečního a jakéhokoli aktualizovaného harmonogramu dle Pod-článku 8.3 ve stanoveném termínu ani po dodatečné výzvě Správce stavby</w:t>
            </w:r>
          </w:p>
          <w:p w14:paraId="5C8D7783" w14:textId="2D5E21C8" w:rsidR="00E54AA1" w:rsidRPr="0031390B" w:rsidRDefault="00E54AA1" w:rsidP="00E54AA1">
            <w:pPr>
              <w:spacing w:before="60" w:afterLines="60" w:after="144" w:line="276" w:lineRule="auto"/>
              <w:jc w:val="both"/>
              <w:rPr>
                <w:rFonts w:ascii="Aptos" w:hAnsi="Aptos" w:cs="Segoe UI"/>
                <w:i/>
                <w:sz w:val="22"/>
                <w:szCs w:val="22"/>
              </w:rPr>
            </w:pPr>
            <w:proofErr w:type="gramStart"/>
            <w:r w:rsidRPr="0031390B">
              <w:rPr>
                <w:rFonts w:ascii="Aptos" w:hAnsi="Aptos" w:cs="Segoe UI"/>
                <w:sz w:val="22"/>
                <w:szCs w:val="22"/>
              </w:rPr>
              <w:t>50.000,-</w:t>
            </w:r>
            <w:proofErr w:type="gramEnd"/>
            <w:r w:rsidRPr="0031390B">
              <w:rPr>
                <w:rFonts w:ascii="Aptos" w:hAnsi="Aptos" w:cs="Segoe UI"/>
                <w:sz w:val="22"/>
                <w:szCs w:val="22"/>
              </w:rPr>
              <w:t xml:space="preserve"> Kč za každý započatý den prodlení</w:t>
            </w:r>
            <w:r w:rsidRPr="0031390B">
              <w:rPr>
                <w:rFonts w:ascii="Aptos" w:hAnsi="Aptos" w:cs="Segoe UI"/>
                <w:i/>
                <w:sz w:val="22"/>
                <w:szCs w:val="22"/>
              </w:rPr>
              <w:t xml:space="preserve">  </w:t>
            </w:r>
          </w:p>
        </w:tc>
      </w:tr>
      <w:tr w:rsidR="00E54AA1" w:rsidRPr="0031390B" w14:paraId="26190F2C" w14:textId="77777777" w:rsidTr="58788088">
        <w:trPr>
          <w:trHeight w:val="599"/>
        </w:trPr>
        <w:tc>
          <w:tcPr>
            <w:tcW w:w="2477" w:type="dxa"/>
            <w:tcBorders>
              <w:top w:val="single" w:sz="4" w:space="0" w:color="auto"/>
              <w:left w:val="single" w:sz="4" w:space="0" w:color="auto"/>
              <w:bottom w:val="single" w:sz="4" w:space="0" w:color="auto"/>
              <w:right w:val="single" w:sz="4" w:space="0" w:color="auto"/>
            </w:tcBorders>
            <w:vAlign w:val="center"/>
          </w:tcPr>
          <w:p w14:paraId="2E052108"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15D0EA47" w14:textId="14C9387B"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f)</w:t>
            </w:r>
          </w:p>
        </w:tc>
        <w:tc>
          <w:tcPr>
            <w:tcW w:w="5376" w:type="dxa"/>
            <w:tcBorders>
              <w:top w:val="single" w:sz="4" w:space="0" w:color="auto"/>
              <w:left w:val="single" w:sz="4" w:space="0" w:color="auto"/>
              <w:bottom w:val="single" w:sz="4" w:space="0" w:color="auto"/>
              <w:right w:val="single" w:sz="4" w:space="0" w:color="auto"/>
            </w:tcBorders>
            <w:vAlign w:val="center"/>
          </w:tcPr>
          <w:p w14:paraId="1B131ADA" w14:textId="77777777" w:rsidR="00E54AA1" w:rsidRPr="0031390B" w:rsidRDefault="00E54AA1" w:rsidP="00E54AA1">
            <w:pPr>
              <w:spacing w:before="60" w:afterLines="60" w:after="144" w:line="276" w:lineRule="auto"/>
              <w:jc w:val="both"/>
              <w:rPr>
                <w:rFonts w:ascii="Aptos" w:hAnsi="Aptos" w:cs="Segoe UI"/>
                <w:i/>
                <w:sz w:val="22"/>
                <w:szCs w:val="22"/>
              </w:rPr>
            </w:pPr>
            <w:r w:rsidRPr="0031390B">
              <w:rPr>
                <w:rFonts w:ascii="Aptos" w:hAnsi="Aptos" w:cs="Segoe UI"/>
                <w:i/>
                <w:sz w:val="22"/>
                <w:szCs w:val="22"/>
              </w:rPr>
              <w:t>Za neplnění povinnosti podle Pod-článku 6.7 (Ochrana zdraví a bezpečnost při práci) přes pokyn Správce stavby ke zjednání nápravy</w:t>
            </w:r>
          </w:p>
          <w:p w14:paraId="60227CC2" w14:textId="62C333D3" w:rsidR="00E54AA1" w:rsidRPr="0031390B" w:rsidRDefault="00E54AA1" w:rsidP="00E54AA1">
            <w:pPr>
              <w:spacing w:before="60" w:afterLines="60" w:after="144" w:line="276" w:lineRule="auto"/>
              <w:jc w:val="both"/>
              <w:rPr>
                <w:rFonts w:ascii="Aptos" w:hAnsi="Aptos" w:cs="Segoe UI"/>
                <w:i/>
                <w:sz w:val="22"/>
                <w:szCs w:val="22"/>
              </w:rPr>
            </w:pPr>
            <w:proofErr w:type="gramStart"/>
            <w:r w:rsidRPr="0031390B">
              <w:rPr>
                <w:rFonts w:ascii="Aptos" w:hAnsi="Aptos" w:cs="Segoe UI"/>
                <w:sz w:val="22"/>
                <w:szCs w:val="22"/>
              </w:rPr>
              <w:t>10.000,-</w:t>
            </w:r>
            <w:proofErr w:type="gramEnd"/>
            <w:r w:rsidRPr="0031390B">
              <w:rPr>
                <w:rFonts w:ascii="Aptos" w:hAnsi="Aptos" w:cs="Segoe UI"/>
                <w:sz w:val="22"/>
                <w:szCs w:val="22"/>
              </w:rPr>
              <w:t xml:space="preserve"> Kč za každý jednotlivý případ porušení</w:t>
            </w:r>
          </w:p>
        </w:tc>
      </w:tr>
      <w:tr w:rsidR="00E54AA1" w:rsidRPr="0031390B" w14:paraId="12B90A76" w14:textId="77777777" w:rsidTr="58788088">
        <w:trPr>
          <w:trHeight w:val="599"/>
        </w:trPr>
        <w:tc>
          <w:tcPr>
            <w:tcW w:w="2477" w:type="dxa"/>
            <w:tcBorders>
              <w:top w:val="single" w:sz="4" w:space="0" w:color="auto"/>
              <w:left w:val="single" w:sz="4" w:space="0" w:color="auto"/>
              <w:bottom w:val="single" w:sz="4" w:space="0" w:color="auto"/>
              <w:right w:val="single" w:sz="4" w:space="0" w:color="auto"/>
            </w:tcBorders>
            <w:vAlign w:val="center"/>
          </w:tcPr>
          <w:p w14:paraId="2A67C5A8"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2D8EC82C" w14:textId="633F4902"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g)</w:t>
            </w:r>
          </w:p>
          <w:p w14:paraId="6A167A1F" w14:textId="0ECEF75E"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8.7</w:t>
            </w:r>
          </w:p>
        </w:tc>
        <w:tc>
          <w:tcPr>
            <w:tcW w:w="5376" w:type="dxa"/>
            <w:tcBorders>
              <w:top w:val="single" w:sz="4" w:space="0" w:color="auto"/>
              <w:left w:val="single" w:sz="4" w:space="0" w:color="auto"/>
              <w:bottom w:val="single" w:sz="4" w:space="0" w:color="auto"/>
              <w:right w:val="single" w:sz="4" w:space="0" w:color="auto"/>
            </w:tcBorders>
            <w:vAlign w:val="center"/>
          </w:tcPr>
          <w:p w14:paraId="45935A19" w14:textId="0539ECB2" w:rsidR="00E54AA1" w:rsidRPr="0031390B" w:rsidRDefault="00E54AA1" w:rsidP="00E54AA1">
            <w:pPr>
              <w:spacing w:before="60" w:afterLines="60" w:after="144" w:line="276" w:lineRule="auto"/>
              <w:jc w:val="both"/>
              <w:rPr>
                <w:rFonts w:ascii="Aptos" w:hAnsi="Aptos" w:cs="Segoe UI"/>
                <w:i/>
                <w:sz w:val="22"/>
                <w:szCs w:val="22"/>
              </w:rPr>
            </w:pPr>
            <w:r w:rsidRPr="0031390B">
              <w:rPr>
                <w:rFonts w:ascii="Aptos" w:hAnsi="Aptos" w:cs="Segoe UI"/>
                <w:i/>
                <w:sz w:val="22"/>
                <w:szCs w:val="22"/>
              </w:rPr>
              <w:t>Za nedodržení Doby pro dokončení Sekce 1</w:t>
            </w:r>
          </w:p>
          <w:p w14:paraId="76E0375E" w14:textId="1C4731E1" w:rsidR="00E54AA1" w:rsidRPr="0031390B" w:rsidRDefault="00E54AA1" w:rsidP="00E54AA1">
            <w:pPr>
              <w:spacing w:before="60" w:afterLines="60" w:after="144" w:line="276" w:lineRule="auto"/>
              <w:jc w:val="both"/>
              <w:rPr>
                <w:rFonts w:ascii="Aptos" w:hAnsi="Aptos" w:cs="Segoe UI"/>
                <w:i/>
                <w:sz w:val="22"/>
                <w:szCs w:val="22"/>
              </w:rPr>
            </w:pPr>
            <w:proofErr w:type="gramStart"/>
            <w:r w:rsidRPr="0031390B">
              <w:rPr>
                <w:rFonts w:ascii="Aptos" w:hAnsi="Aptos" w:cs="Segoe UI"/>
                <w:sz w:val="22"/>
                <w:szCs w:val="22"/>
              </w:rPr>
              <w:t>500.000,-</w:t>
            </w:r>
            <w:proofErr w:type="gramEnd"/>
            <w:r w:rsidRPr="0031390B">
              <w:rPr>
                <w:rFonts w:ascii="Aptos" w:hAnsi="Aptos" w:cs="Segoe UI"/>
                <w:sz w:val="22"/>
                <w:szCs w:val="22"/>
              </w:rPr>
              <w:t xml:space="preserve"> Kč za každý započatý den prodlení</w:t>
            </w:r>
            <w:r w:rsidRPr="0031390B">
              <w:rPr>
                <w:rFonts w:ascii="Aptos" w:hAnsi="Aptos" w:cs="Segoe UI"/>
                <w:i/>
                <w:sz w:val="22"/>
                <w:szCs w:val="22"/>
              </w:rPr>
              <w:t xml:space="preserve">  </w:t>
            </w:r>
          </w:p>
        </w:tc>
      </w:tr>
      <w:tr w:rsidR="00E54AA1" w:rsidRPr="0031390B" w14:paraId="4EEE2B26" w14:textId="77777777" w:rsidTr="58788088">
        <w:trPr>
          <w:trHeight w:val="599"/>
        </w:trPr>
        <w:tc>
          <w:tcPr>
            <w:tcW w:w="2477" w:type="dxa"/>
            <w:tcBorders>
              <w:top w:val="single" w:sz="4" w:space="0" w:color="auto"/>
              <w:left w:val="single" w:sz="4" w:space="0" w:color="auto"/>
              <w:bottom w:val="single" w:sz="4" w:space="0" w:color="auto"/>
              <w:right w:val="single" w:sz="4" w:space="0" w:color="auto"/>
            </w:tcBorders>
            <w:vAlign w:val="center"/>
          </w:tcPr>
          <w:p w14:paraId="4E207C93"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5C43FE04"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g)</w:t>
            </w:r>
          </w:p>
          <w:p w14:paraId="4F57F3AF" w14:textId="1A24F71F"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8.7</w:t>
            </w:r>
          </w:p>
        </w:tc>
        <w:tc>
          <w:tcPr>
            <w:tcW w:w="5376" w:type="dxa"/>
            <w:tcBorders>
              <w:top w:val="single" w:sz="4" w:space="0" w:color="auto"/>
              <w:left w:val="single" w:sz="4" w:space="0" w:color="auto"/>
              <w:bottom w:val="single" w:sz="4" w:space="0" w:color="auto"/>
              <w:right w:val="single" w:sz="4" w:space="0" w:color="auto"/>
            </w:tcBorders>
            <w:vAlign w:val="center"/>
          </w:tcPr>
          <w:p w14:paraId="4BB14912" w14:textId="77777777" w:rsidR="00E54AA1" w:rsidRPr="0031390B" w:rsidRDefault="00E54AA1" w:rsidP="00E54AA1">
            <w:pPr>
              <w:spacing w:before="60" w:afterLines="60" w:after="144" w:line="276" w:lineRule="auto"/>
              <w:jc w:val="both"/>
              <w:rPr>
                <w:rFonts w:ascii="Aptos" w:hAnsi="Aptos" w:cs="Segoe UI"/>
                <w:i/>
                <w:sz w:val="22"/>
                <w:szCs w:val="22"/>
              </w:rPr>
            </w:pPr>
            <w:r w:rsidRPr="0031390B">
              <w:rPr>
                <w:rFonts w:ascii="Aptos" w:hAnsi="Aptos" w:cs="Segoe UI"/>
                <w:i/>
                <w:sz w:val="22"/>
                <w:szCs w:val="22"/>
              </w:rPr>
              <w:t>Za nedodržení Doby pro dokončení Díla</w:t>
            </w:r>
          </w:p>
          <w:p w14:paraId="7C2C6A12" w14:textId="155AA9FD" w:rsidR="00E54AA1" w:rsidRPr="0031390B" w:rsidRDefault="00A07662" w:rsidP="00E54AA1">
            <w:pPr>
              <w:spacing w:before="60" w:afterLines="60" w:after="144" w:line="276" w:lineRule="auto"/>
              <w:jc w:val="both"/>
              <w:rPr>
                <w:rFonts w:ascii="Aptos" w:hAnsi="Aptos" w:cs="Segoe UI"/>
                <w:i/>
                <w:sz w:val="22"/>
                <w:szCs w:val="22"/>
              </w:rPr>
            </w:pPr>
            <w:proofErr w:type="gramStart"/>
            <w:r w:rsidRPr="0031390B">
              <w:rPr>
                <w:rFonts w:ascii="Aptos" w:hAnsi="Aptos" w:cs="Segoe UI"/>
                <w:sz w:val="22"/>
                <w:szCs w:val="22"/>
              </w:rPr>
              <w:t>200</w:t>
            </w:r>
            <w:r w:rsidR="00E54AA1" w:rsidRPr="0031390B">
              <w:rPr>
                <w:rFonts w:ascii="Aptos" w:hAnsi="Aptos" w:cs="Segoe UI"/>
                <w:sz w:val="22"/>
                <w:szCs w:val="22"/>
              </w:rPr>
              <w:t>.000,-</w:t>
            </w:r>
            <w:proofErr w:type="gramEnd"/>
            <w:r w:rsidR="00E54AA1" w:rsidRPr="0031390B">
              <w:rPr>
                <w:rFonts w:ascii="Aptos" w:hAnsi="Aptos" w:cs="Segoe UI"/>
                <w:sz w:val="22"/>
                <w:szCs w:val="22"/>
              </w:rPr>
              <w:t xml:space="preserve"> Kč za každý započatý den prodlení</w:t>
            </w:r>
          </w:p>
        </w:tc>
      </w:tr>
      <w:tr w:rsidR="00E54AA1" w:rsidRPr="0031390B" w14:paraId="26B20EBC" w14:textId="77777777" w:rsidTr="58788088">
        <w:trPr>
          <w:trHeight w:val="599"/>
        </w:trPr>
        <w:tc>
          <w:tcPr>
            <w:tcW w:w="2477" w:type="dxa"/>
            <w:tcBorders>
              <w:top w:val="single" w:sz="4" w:space="0" w:color="auto"/>
              <w:left w:val="single" w:sz="4" w:space="0" w:color="auto"/>
              <w:bottom w:val="single" w:sz="4" w:space="0" w:color="auto"/>
              <w:right w:val="single" w:sz="4" w:space="0" w:color="auto"/>
            </w:tcBorders>
            <w:vAlign w:val="center"/>
          </w:tcPr>
          <w:p w14:paraId="5FD30757"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3DCD7078" w14:textId="53FC857A"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h)</w:t>
            </w:r>
          </w:p>
          <w:p w14:paraId="0D607999" w14:textId="1A3A1805" w:rsidR="00E54AA1" w:rsidRPr="0031390B" w:rsidRDefault="00E54AA1" w:rsidP="00E54AA1">
            <w:pPr>
              <w:pStyle w:val="Zkladntext"/>
              <w:spacing w:line="276" w:lineRule="auto"/>
              <w:jc w:val="left"/>
              <w:rPr>
                <w:rFonts w:ascii="Aptos" w:hAnsi="Aptos" w:cs="Segoe UI"/>
                <w:sz w:val="22"/>
                <w:szCs w:val="22"/>
              </w:rPr>
            </w:pPr>
          </w:p>
        </w:tc>
        <w:tc>
          <w:tcPr>
            <w:tcW w:w="5376" w:type="dxa"/>
            <w:tcBorders>
              <w:top w:val="single" w:sz="4" w:space="0" w:color="auto"/>
              <w:left w:val="single" w:sz="4" w:space="0" w:color="auto"/>
              <w:bottom w:val="single" w:sz="4" w:space="0" w:color="auto"/>
              <w:right w:val="single" w:sz="4" w:space="0" w:color="auto"/>
            </w:tcBorders>
            <w:vAlign w:val="center"/>
          </w:tcPr>
          <w:p w14:paraId="1A9E40AF" w14:textId="3F24B16E" w:rsidR="00E54AA1" w:rsidRPr="0031390B" w:rsidRDefault="00E54AA1" w:rsidP="00E54AA1">
            <w:pPr>
              <w:spacing w:before="60" w:afterLines="60" w:after="144" w:line="276" w:lineRule="auto"/>
              <w:jc w:val="both"/>
              <w:rPr>
                <w:rFonts w:ascii="Aptos" w:hAnsi="Aptos" w:cs="Segoe UI"/>
                <w:i/>
                <w:sz w:val="22"/>
                <w:szCs w:val="22"/>
              </w:rPr>
            </w:pPr>
            <w:r w:rsidRPr="0031390B">
              <w:rPr>
                <w:rFonts w:ascii="Aptos" w:hAnsi="Aptos" w:cs="Segoe UI"/>
                <w:i/>
                <w:sz w:val="22"/>
                <w:szCs w:val="22"/>
              </w:rPr>
              <w:t>Za nezajištění přítomnosti projektantů podle Pod-článku 5.1 (Obecné povinnosti při projektování) a Pod-článku 6.8 (Dozorování zhotovitelem)</w:t>
            </w:r>
          </w:p>
          <w:p w14:paraId="427BE94D" w14:textId="03F74D19" w:rsidR="00E54AA1" w:rsidRPr="0031390B" w:rsidRDefault="00E54AA1" w:rsidP="00E54AA1">
            <w:pPr>
              <w:spacing w:before="60" w:afterLines="60" w:after="144" w:line="276" w:lineRule="auto"/>
              <w:jc w:val="both"/>
              <w:rPr>
                <w:rFonts w:ascii="Aptos" w:hAnsi="Aptos" w:cs="Segoe UI"/>
                <w:i/>
                <w:sz w:val="22"/>
                <w:szCs w:val="22"/>
              </w:rPr>
            </w:pPr>
            <w:proofErr w:type="gramStart"/>
            <w:r w:rsidRPr="0031390B">
              <w:rPr>
                <w:rFonts w:ascii="Aptos" w:hAnsi="Aptos" w:cs="Segoe UI"/>
                <w:iCs/>
                <w:sz w:val="22"/>
                <w:szCs w:val="22"/>
              </w:rPr>
              <w:t>50.000,-</w:t>
            </w:r>
            <w:proofErr w:type="gramEnd"/>
            <w:r w:rsidRPr="0031390B">
              <w:rPr>
                <w:rFonts w:ascii="Aptos" w:hAnsi="Aptos" w:cs="Segoe UI"/>
                <w:iCs/>
                <w:sz w:val="22"/>
                <w:szCs w:val="22"/>
              </w:rPr>
              <w:t xml:space="preserve"> Kč za každý jednotlivý případ porušení</w:t>
            </w:r>
            <w:r w:rsidRPr="0031390B">
              <w:rPr>
                <w:rFonts w:ascii="Aptos" w:hAnsi="Aptos" w:cs="Segoe UI"/>
                <w:i/>
                <w:sz w:val="22"/>
                <w:szCs w:val="22"/>
              </w:rPr>
              <w:t xml:space="preserve"> </w:t>
            </w:r>
          </w:p>
        </w:tc>
      </w:tr>
      <w:tr w:rsidR="00E54AA1" w:rsidRPr="0031390B" w14:paraId="1395832E" w14:textId="77777777" w:rsidTr="58788088">
        <w:trPr>
          <w:trHeight w:val="599"/>
        </w:trPr>
        <w:tc>
          <w:tcPr>
            <w:tcW w:w="2477" w:type="dxa"/>
            <w:tcBorders>
              <w:top w:val="single" w:sz="4" w:space="0" w:color="auto"/>
              <w:left w:val="single" w:sz="4" w:space="0" w:color="auto"/>
              <w:bottom w:val="single" w:sz="4" w:space="0" w:color="auto"/>
              <w:right w:val="single" w:sz="4" w:space="0" w:color="auto"/>
            </w:tcBorders>
            <w:vAlign w:val="center"/>
          </w:tcPr>
          <w:p w14:paraId="17EBFB05"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5309B58C" w14:textId="345C81DF"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i)</w:t>
            </w:r>
          </w:p>
        </w:tc>
        <w:tc>
          <w:tcPr>
            <w:tcW w:w="5376" w:type="dxa"/>
            <w:tcBorders>
              <w:top w:val="single" w:sz="4" w:space="0" w:color="auto"/>
              <w:left w:val="single" w:sz="4" w:space="0" w:color="auto"/>
              <w:bottom w:val="single" w:sz="4" w:space="0" w:color="auto"/>
              <w:right w:val="single" w:sz="4" w:space="0" w:color="auto"/>
            </w:tcBorders>
            <w:vAlign w:val="center"/>
          </w:tcPr>
          <w:p w14:paraId="3A91610D" w14:textId="03FDEAC8" w:rsidR="00E54AA1" w:rsidRPr="0031390B" w:rsidRDefault="00E54AA1" w:rsidP="00E54AA1">
            <w:pPr>
              <w:spacing w:line="276" w:lineRule="auto"/>
              <w:jc w:val="both"/>
              <w:rPr>
                <w:rFonts w:ascii="Aptos" w:hAnsi="Aptos" w:cs="Segoe UI"/>
                <w:i/>
                <w:iCs/>
                <w:sz w:val="22"/>
                <w:szCs w:val="22"/>
              </w:rPr>
            </w:pPr>
            <w:r w:rsidRPr="0031390B">
              <w:rPr>
                <w:rFonts w:ascii="Aptos" w:hAnsi="Aptos" w:cs="Segoe UI"/>
                <w:i/>
                <w:iCs/>
                <w:sz w:val="22"/>
                <w:szCs w:val="22"/>
              </w:rPr>
              <w:t>Za porušení povinnosti dle pod-článku 17.5 [Práva průmyslového a jiného duševního vlastnictví]</w:t>
            </w:r>
          </w:p>
          <w:p w14:paraId="66DBA6A9" w14:textId="41556484" w:rsidR="00E54AA1" w:rsidRPr="0031390B" w:rsidRDefault="00E54AA1" w:rsidP="00E54AA1">
            <w:pPr>
              <w:spacing w:before="60" w:afterLines="60" w:after="144" w:line="276" w:lineRule="auto"/>
              <w:jc w:val="both"/>
              <w:rPr>
                <w:rFonts w:ascii="Aptos" w:hAnsi="Aptos" w:cs="Segoe UI"/>
                <w:iCs/>
                <w:sz w:val="22"/>
                <w:szCs w:val="22"/>
              </w:rPr>
            </w:pPr>
            <w:proofErr w:type="gramStart"/>
            <w:r w:rsidRPr="0031390B">
              <w:rPr>
                <w:rFonts w:ascii="Aptos" w:hAnsi="Aptos" w:cs="Segoe UI"/>
                <w:sz w:val="22"/>
                <w:szCs w:val="22"/>
              </w:rPr>
              <w:t>30.000,-</w:t>
            </w:r>
            <w:proofErr w:type="gramEnd"/>
            <w:r w:rsidRPr="0031390B">
              <w:rPr>
                <w:rFonts w:ascii="Aptos" w:hAnsi="Aptos" w:cs="Segoe UI"/>
                <w:sz w:val="22"/>
                <w:szCs w:val="22"/>
              </w:rPr>
              <w:t xml:space="preserve"> Kč za každý jednotlivý případ porušení</w:t>
            </w:r>
          </w:p>
        </w:tc>
      </w:tr>
      <w:tr w:rsidR="00E54AA1" w:rsidRPr="0031390B" w14:paraId="6CFAABD2" w14:textId="77777777" w:rsidTr="58788088">
        <w:trPr>
          <w:trHeight w:val="599"/>
        </w:trPr>
        <w:tc>
          <w:tcPr>
            <w:tcW w:w="2477" w:type="dxa"/>
            <w:tcBorders>
              <w:top w:val="single" w:sz="4" w:space="0" w:color="auto"/>
              <w:left w:val="single" w:sz="4" w:space="0" w:color="auto"/>
              <w:bottom w:val="single" w:sz="4" w:space="0" w:color="auto"/>
              <w:right w:val="single" w:sz="4" w:space="0" w:color="auto"/>
            </w:tcBorders>
            <w:vAlign w:val="center"/>
          </w:tcPr>
          <w:p w14:paraId="377EA8CF"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111EEB16" w14:textId="216FCC3A"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j)</w:t>
            </w:r>
          </w:p>
        </w:tc>
        <w:tc>
          <w:tcPr>
            <w:tcW w:w="5376" w:type="dxa"/>
            <w:tcBorders>
              <w:top w:val="single" w:sz="4" w:space="0" w:color="auto"/>
              <w:left w:val="single" w:sz="4" w:space="0" w:color="auto"/>
              <w:bottom w:val="single" w:sz="4" w:space="0" w:color="auto"/>
              <w:right w:val="single" w:sz="4" w:space="0" w:color="auto"/>
            </w:tcBorders>
            <w:vAlign w:val="center"/>
          </w:tcPr>
          <w:p w14:paraId="6CC76197" w14:textId="7DB79A54" w:rsidR="00E54AA1" w:rsidRPr="0031390B" w:rsidRDefault="00E54AA1" w:rsidP="00E54AA1">
            <w:pPr>
              <w:spacing w:line="276" w:lineRule="auto"/>
              <w:jc w:val="both"/>
              <w:rPr>
                <w:rFonts w:ascii="Aptos" w:hAnsi="Aptos" w:cs="Segoe UI"/>
                <w:i/>
                <w:iCs/>
                <w:sz w:val="22"/>
                <w:szCs w:val="22"/>
              </w:rPr>
            </w:pPr>
            <w:r w:rsidRPr="0031390B">
              <w:rPr>
                <w:rFonts w:ascii="Aptos" w:hAnsi="Aptos" w:cs="Segoe UI"/>
                <w:i/>
                <w:iCs/>
                <w:sz w:val="22"/>
                <w:szCs w:val="22"/>
              </w:rPr>
              <w:t>Za porušení některé z povinností podle Pod-článku 4.4 [Podzhotovitelé], zejména zapojení do realizace Díla neoznámeného Podzhotovitele, zapojení Podzhotovitele ve větším než oznámeném nebo schváleném rozsahu nebo změna Významného Podzhotovitele bez předchozího písemného souhlasu Objednatele</w:t>
            </w:r>
          </w:p>
          <w:p w14:paraId="6A2D7552" w14:textId="07A892C3" w:rsidR="00E54AA1" w:rsidRPr="0031390B" w:rsidRDefault="00E54AA1" w:rsidP="00E54AA1">
            <w:pPr>
              <w:spacing w:line="276" w:lineRule="auto"/>
              <w:jc w:val="both"/>
              <w:rPr>
                <w:rFonts w:ascii="Aptos" w:hAnsi="Aptos" w:cs="Segoe UI"/>
                <w:i/>
                <w:iCs/>
                <w:sz w:val="22"/>
                <w:szCs w:val="22"/>
              </w:rPr>
            </w:pPr>
            <w:proofErr w:type="gramStart"/>
            <w:r w:rsidRPr="0031390B">
              <w:rPr>
                <w:rFonts w:ascii="Aptos" w:hAnsi="Aptos" w:cs="Segoe UI"/>
                <w:sz w:val="22"/>
                <w:szCs w:val="22"/>
              </w:rPr>
              <w:t>100.000,-</w:t>
            </w:r>
            <w:proofErr w:type="gramEnd"/>
            <w:r w:rsidRPr="0031390B">
              <w:rPr>
                <w:rFonts w:ascii="Aptos" w:hAnsi="Aptos" w:cs="Segoe UI"/>
                <w:sz w:val="22"/>
                <w:szCs w:val="22"/>
              </w:rPr>
              <w:t xml:space="preserve"> Kč za každý jednotlivý případ porušení</w:t>
            </w:r>
          </w:p>
        </w:tc>
      </w:tr>
      <w:tr w:rsidR="00E54AA1" w:rsidRPr="0031390B" w14:paraId="13DB0374" w14:textId="77777777" w:rsidTr="58788088">
        <w:trPr>
          <w:trHeight w:val="147"/>
        </w:trPr>
        <w:tc>
          <w:tcPr>
            <w:tcW w:w="2477" w:type="dxa"/>
            <w:vAlign w:val="center"/>
          </w:tcPr>
          <w:p w14:paraId="37075520"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vAlign w:val="center"/>
          </w:tcPr>
          <w:p w14:paraId="2F5987BD" w14:textId="367AF636"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k)</w:t>
            </w:r>
          </w:p>
        </w:tc>
        <w:tc>
          <w:tcPr>
            <w:tcW w:w="5376" w:type="dxa"/>
            <w:vAlign w:val="center"/>
          </w:tcPr>
          <w:p w14:paraId="6DD802ED" w14:textId="6912FB42" w:rsidR="00E54AA1" w:rsidRPr="0031390B" w:rsidRDefault="00E54AA1" w:rsidP="00E54AA1">
            <w:pPr>
              <w:spacing w:before="60" w:afterLines="60" w:after="144" w:line="276" w:lineRule="auto"/>
              <w:jc w:val="both"/>
              <w:rPr>
                <w:rFonts w:ascii="Aptos" w:hAnsi="Aptos" w:cs="Segoe UI"/>
                <w:i/>
                <w:iCs/>
                <w:sz w:val="22"/>
                <w:szCs w:val="22"/>
              </w:rPr>
            </w:pPr>
            <w:r w:rsidRPr="0031390B">
              <w:rPr>
                <w:rFonts w:ascii="Aptos" w:hAnsi="Aptos" w:cs="Segoe UI"/>
                <w:i/>
                <w:iCs/>
                <w:sz w:val="22"/>
                <w:szCs w:val="22"/>
              </w:rPr>
              <w:t>Za porušení povinnosti podle Pod-článku 4.25 [Kontrolní prohlídky stavby], zejména neoznámení včas dosažení rozhodné fáze výstavby, nezajištění podkladů, součinnosti nebo účasti při kontrolní prohlídce, anebo bez předchozího písemného souhlasu Správce stavby zakrytí, zabudování, odstranění, změna nebo znepřístupnění části Díla určenou ke kontrole, zkoušce, revizi nebo ověření</w:t>
            </w:r>
          </w:p>
          <w:p w14:paraId="18B932B5" w14:textId="183E0A91" w:rsidR="00E54AA1" w:rsidRPr="0031390B" w:rsidRDefault="00E54AA1" w:rsidP="00E54AA1">
            <w:pPr>
              <w:spacing w:before="60" w:afterLines="60" w:after="144" w:line="276" w:lineRule="auto"/>
              <w:jc w:val="both"/>
              <w:rPr>
                <w:rFonts w:ascii="Aptos" w:hAnsi="Aptos" w:cs="Segoe UI"/>
                <w:sz w:val="22"/>
                <w:szCs w:val="22"/>
              </w:rPr>
            </w:pPr>
            <w:proofErr w:type="gramStart"/>
            <w:r w:rsidRPr="0031390B">
              <w:rPr>
                <w:rFonts w:ascii="Aptos" w:hAnsi="Aptos" w:cs="Segoe UI"/>
                <w:sz w:val="22"/>
                <w:szCs w:val="22"/>
              </w:rPr>
              <w:t>100.000,-</w:t>
            </w:r>
            <w:proofErr w:type="gramEnd"/>
            <w:r w:rsidRPr="0031390B">
              <w:rPr>
                <w:rFonts w:ascii="Aptos" w:hAnsi="Aptos" w:cs="Segoe UI"/>
                <w:sz w:val="22"/>
                <w:szCs w:val="22"/>
              </w:rPr>
              <w:t xml:space="preserve"> Kč za každý jednotlivý případ porušení</w:t>
            </w:r>
          </w:p>
        </w:tc>
      </w:tr>
      <w:tr w:rsidR="00E54AA1" w:rsidRPr="0031390B" w14:paraId="443AEA92" w14:textId="77777777" w:rsidTr="58788088">
        <w:trPr>
          <w:trHeight w:val="147"/>
        </w:trPr>
        <w:tc>
          <w:tcPr>
            <w:tcW w:w="2477" w:type="dxa"/>
            <w:vAlign w:val="center"/>
          </w:tcPr>
          <w:p w14:paraId="19B9EBF4" w14:textId="77777777" w:rsidR="00E54AA1" w:rsidRPr="0031390B" w:rsidRDefault="00E54AA1" w:rsidP="00E54AA1">
            <w:pPr>
              <w:pStyle w:val="Zkladntext"/>
              <w:spacing w:line="276" w:lineRule="auto"/>
              <w:jc w:val="left"/>
              <w:rPr>
                <w:rFonts w:ascii="Aptos" w:hAnsi="Aptos" w:cs="Segoe UI"/>
                <w:b/>
                <w:sz w:val="22"/>
                <w:szCs w:val="22"/>
              </w:rPr>
            </w:pPr>
          </w:p>
        </w:tc>
        <w:tc>
          <w:tcPr>
            <w:tcW w:w="1417" w:type="dxa"/>
            <w:vAlign w:val="center"/>
          </w:tcPr>
          <w:p w14:paraId="0C9DC07E" w14:textId="16AF83CA"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 l)</w:t>
            </w:r>
          </w:p>
        </w:tc>
        <w:tc>
          <w:tcPr>
            <w:tcW w:w="5376" w:type="dxa"/>
            <w:vAlign w:val="center"/>
          </w:tcPr>
          <w:p w14:paraId="0361D727" w14:textId="1F280C42" w:rsidR="00E54AA1" w:rsidRPr="0031390B" w:rsidRDefault="00E54AA1" w:rsidP="00E54AA1">
            <w:pPr>
              <w:spacing w:before="60" w:afterLines="60" w:after="144" w:line="276" w:lineRule="auto"/>
              <w:jc w:val="both"/>
              <w:rPr>
                <w:rFonts w:ascii="Aptos" w:hAnsi="Aptos" w:cs="Segoe UI"/>
                <w:i/>
                <w:iCs/>
                <w:sz w:val="22"/>
                <w:szCs w:val="22"/>
              </w:rPr>
            </w:pPr>
            <w:r w:rsidRPr="0031390B">
              <w:rPr>
                <w:rFonts w:ascii="Aptos" w:hAnsi="Aptos" w:cs="Segoe UI"/>
                <w:i/>
                <w:iCs/>
                <w:sz w:val="22"/>
                <w:szCs w:val="22"/>
              </w:rPr>
              <w:t>Za porušení povinnosti podle Pod-článku 4.30 [Odborný dozor při demolici]</w:t>
            </w:r>
          </w:p>
          <w:p w14:paraId="1AEE54E1" w14:textId="5E6B0090" w:rsidR="00E54AA1" w:rsidRPr="0031390B" w:rsidRDefault="00E54AA1" w:rsidP="00E54AA1">
            <w:pPr>
              <w:spacing w:before="60" w:afterLines="60" w:after="144" w:line="276" w:lineRule="auto"/>
              <w:jc w:val="both"/>
              <w:rPr>
                <w:rFonts w:ascii="Aptos" w:hAnsi="Aptos" w:cs="Segoe UI"/>
                <w:sz w:val="22"/>
                <w:szCs w:val="22"/>
              </w:rPr>
            </w:pPr>
            <w:proofErr w:type="gramStart"/>
            <w:r w:rsidRPr="0031390B">
              <w:rPr>
                <w:rFonts w:ascii="Aptos" w:hAnsi="Aptos" w:cs="Segoe UI"/>
                <w:sz w:val="22"/>
                <w:szCs w:val="22"/>
              </w:rPr>
              <w:t>50.000,-</w:t>
            </w:r>
            <w:proofErr w:type="gramEnd"/>
            <w:r w:rsidRPr="0031390B">
              <w:rPr>
                <w:rFonts w:ascii="Aptos" w:hAnsi="Aptos" w:cs="Segoe UI"/>
                <w:sz w:val="22"/>
                <w:szCs w:val="22"/>
              </w:rPr>
              <w:t xml:space="preserve"> Kč za každý jednotlivý případ porušení</w:t>
            </w:r>
          </w:p>
        </w:tc>
      </w:tr>
      <w:tr w:rsidR="00E54AA1" w:rsidRPr="0031390B" w14:paraId="2BD0652E" w14:textId="77777777" w:rsidTr="58788088">
        <w:trPr>
          <w:trHeight w:val="147"/>
        </w:trPr>
        <w:tc>
          <w:tcPr>
            <w:tcW w:w="2477" w:type="dxa"/>
            <w:vAlign w:val="center"/>
          </w:tcPr>
          <w:p w14:paraId="4889D5DA" w14:textId="3C58D9A8"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Maximální hodnota smluvní pokuty za zpoždění</w:t>
            </w:r>
          </w:p>
        </w:tc>
        <w:tc>
          <w:tcPr>
            <w:tcW w:w="1417" w:type="dxa"/>
            <w:vAlign w:val="center"/>
          </w:tcPr>
          <w:p w14:paraId="6ADDD579" w14:textId="74D27D0E"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8.7</w:t>
            </w:r>
          </w:p>
        </w:tc>
        <w:tc>
          <w:tcPr>
            <w:tcW w:w="5376" w:type="dxa"/>
            <w:vAlign w:val="center"/>
          </w:tcPr>
          <w:p w14:paraId="5B537585" w14:textId="5237FA11" w:rsidR="00E54AA1" w:rsidRPr="0031390B" w:rsidRDefault="00A07662"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2</w:t>
            </w:r>
            <w:r w:rsidR="00E54AA1" w:rsidRPr="0031390B">
              <w:rPr>
                <w:rFonts w:ascii="Aptos" w:hAnsi="Aptos" w:cs="Segoe UI"/>
                <w:sz w:val="22"/>
                <w:szCs w:val="22"/>
              </w:rPr>
              <w:t>0 % z Přijaté smluvní částky (bez DPH)</w:t>
            </w:r>
          </w:p>
        </w:tc>
      </w:tr>
      <w:tr w:rsidR="00E54AA1" w:rsidRPr="0031390B" w14:paraId="260C3BCC" w14:textId="77777777" w:rsidTr="58788088">
        <w:trPr>
          <w:trHeight w:val="147"/>
        </w:trPr>
        <w:tc>
          <w:tcPr>
            <w:tcW w:w="2477" w:type="dxa"/>
            <w:vAlign w:val="center"/>
          </w:tcPr>
          <w:p w14:paraId="69D630C2"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Maximální celková výše smluvních pokut</w:t>
            </w:r>
          </w:p>
        </w:tc>
        <w:tc>
          <w:tcPr>
            <w:tcW w:w="1417" w:type="dxa"/>
            <w:vAlign w:val="center"/>
          </w:tcPr>
          <w:p w14:paraId="59197364" w14:textId="57AB500E"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4.27</w:t>
            </w:r>
          </w:p>
        </w:tc>
        <w:tc>
          <w:tcPr>
            <w:tcW w:w="5376" w:type="dxa"/>
            <w:vAlign w:val="center"/>
          </w:tcPr>
          <w:p w14:paraId="406CB944" w14:textId="48814FFE" w:rsidR="00E54AA1" w:rsidRPr="0031390B" w:rsidRDefault="00A07662"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3</w:t>
            </w:r>
            <w:r w:rsidR="00E54AA1" w:rsidRPr="0031390B">
              <w:rPr>
                <w:rFonts w:ascii="Aptos" w:hAnsi="Aptos" w:cs="Segoe UI"/>
                <w:sz w:val="22"/>
                <w:szCs w:val="22"/>
              </w:rPr>
              <w:t>0 % z Přijaté smluvní částky (bez DPH)</w:t>
            </w:r>
          </w:p>
        </w:tc>
      </w:tr>
      <w:tr w:rsidR="00E54AA1" w:rsidRPr="0031390B" w14:paraId="4BC6CFDE" w14:textId="77777777" w:rsidTr="58788088">
        <w:trPr>
          <w:trHeight w:val="147"/>
        </w:trPr>
        <w:tc>
          <w:tcPr>
            <w:tcW w:w="2477" w:type="dxa"/>
            <w:vAlign w:val="center"/>
          </w:tcPr>
          <w:p w14:paraId="64828645" w14:textId="5013E45C"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Harmonogram</w:t>
            </w:r>
          </w:p>
        </w:tc>
        <w:tc>
          <w:tcPr>
            <w:tcW w:w="1417" w:type="dxa"/>
            <w:vAlign w:val="center"/>
          </w:tcPr>
          <w:p w14:paraId="7E65DFCD" w14:textId="26963CF1"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8.3</w:t>
            </w:r>
          </w:p>
        </w:tc>
        <w:tc>
          <w:tcPr>
            <w:tcW w:w="5376" w:type="dxa"/>
            <w:vAlign w:val="center"/>
          </w:tcPr>
          <w:p w14:paraId="2547BA67" w14:textId="3C758836" w:rsidR="00E54AA1" w:rsidRPr="0031390B" w:rsidDel="009C791F"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 xml:space="preserve">Harmonogram bude vytvořen v souladu s Metodikou pro časové řízení u stavebních zakázek podle smluvních podmínek FIDIC vydanou SFDI v aktuálním znění, která je dostupná na </w:t>
            </w:r>
            <w:hyperlink r:id="rId9" w:history="1">
              <w:r w:rsidRPr="0031390B">
                <w:rPr>
                  <w:rStyle w:val="Hypertextovodkaz"/>
                  <w:rFonts w:ascii="Aptos" w:hAnsi="Aptos" w:cs="Segoe UI"/>
                  <w:sz w:val="22"/>
                  <w:szCs w:val="22"/>
                </w:rPr>
                <w:t>https://www.sfdi.cz/pravidla-metodiky-a-ceniky/metodiky/</w:t>
              </w:r>
            </w:hyperlink>
          </w:p>
        </w:tc>
      </w:tr>
      <w:tr w:rsidR="00E54AA1" w:rsidRPr="0031390B" w14:paraId="4B655DAB" w14:textId="77777777" w:rsidTr="58788088">
        <w:trPr>
          <w:trHeight w:val="569"/>
        </w:trPr>
        <w:tc>
          <w:tcPr>
            <w:tcW w:w="2477" w:type="dxa"/>
            <w:vAlign w:val="center"/>
          </w:tcPr>
          <w:p w14:paraId="13CFA51A"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Právo na variaci</w:t>
            </w:r>
          </w:p>
        </w:tc>
        <w:tc>
          <w:tcPr>
            <w:tcW w:w="1417" w:type="dxa"/>
            <w:vAlign w:val="center"/>
          </w:tcPr>
          <w:p w14:paraId="1FFD82BB" w14:textId="77777777" w:rsidR="00E54AA1" w:rsidRPr="0031390B" w:rsidRDefault="00E54AA1" w:rsidP="00E54AA1">
            <w:pPr>
              <w:pStyle w:val="Zkladntext"/>
              <w:spacing w:line="276" w:lineRule="auto"/>
              <w:jc w:val="left"/>
              <w:rPr>
                <w:rFonts w:ascii="Aptos" w:hAnsi="Aptos" w:cs="Segoe UI"/>
                <w:iCs/>
                <w:sz w:val="22"/>
                <w:szCs w:val="22"/>
              </w:rPr>
            </w:pPr>
            <w:r w:rsidRPr="0031390B">
              <w:rPr>
                <w:rFonts w:ascii="Aptos" w:hAnsi="Aptos" w:cs="Segoe UI"/>
                <w:iCs/>
                <w:sz w:val="22"/>
                <w:szCs w:val="22"/>
              </w:rPr>
              <w:t>13.1</w:t>
            </w:r>
          </w:p>
        </w:tc>
        <w:tc>
          <w:tcPr>
            <w:tcW w:w="5376" w:type="dxa"/>
            <w:vAlign w:val="center"/>
          </w:tcPr>
          <w:p w14:paraId="5B8D00D2" w14:textId="4A01842E"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Použije se Článek 13</w:t>
            </w:r>
          </w:p>
        </w:tc>
      </w:tr>
      <w:tr w:rsidR="00E54AA1" w:rsidRPr="0031390B" w14:paraId="5B793177" w14:textId="77777777" w:rsidTr="58788088">
        <w:trPr>
          <w:trHeight w:val="147"/>
        </w:trPr>
        <w:tc>
          <w:tcPr>
            <w:tcW w:w="2477" w:type="dxa"/>
            <w:vAlign w:val="center"/>
          </w:tcPr>
          <w:p w14:paraId="0AC739BF"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Úpravy v důsledku změn nákladů</w:t>
            </w:r>
          </w:p>
        </w:tc>
        <w:tc>
          <w:tcPr>
            <w:tcW w:w="1417" w:type="dxa"/>
            <w:vAlign w:val="center"/>
          </w:tcPr>
          <w:p w14:paraId="17FF18F3"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13.8</w:t>
            </w:r>
          </w:p>
        </w:tc>
        <w:tc>
          <w:tcPr>
            <w:tcW w:w="5376" w:type="dxa"/>
            <w:vAlign w:val="center"/>
          </w:tcPr>
          <w:p w14:paraId="306CDD79" w14:textId="77777777" w:rsidR="00E54AA1" w:rsidRPr="0031390B" w:rsidRDefault="00E54AA1" w:rsidP="00E54AA1">
            <w:pPr>
              <w:spacing w:before="60" w:afterLines="60" w:after="144" w:line="276" w:lineRule="auto"/>
              <w:jc w:val="both"/>
              <w:rPr>
                <w:rFonts w:ascii="Aptos" w:hAnsi="Aptos" w:cs="Segoe UI"/>
                <w:i/>
                <w:sz w:val="22"/>
                <w:szCs w:val="22"/>
              </w:rPr>
            </w:pPr>
            <w:r w:rsidRPr="0031390B">
              <w:rPr>
                <w:rFonts w:ascii="Aptos" w:hAnsi="Aptos" w:cs="Segoe UI"/>
                <w:i/>
                <w:iCs/>
                <w:sz w:val="22"/>
                <w:szCs w:val="22"/>
              </w:rPr>
              <w:t xml:space="preserve">Nepoužije se </w:t>
            </w:r>
          </w:p>
        </w:tc>
      </w:tr>
      <w:tr w:rsidR="00E54AA1" w:rsidRPr="0031390B" w14:paraId="6AB34C55" w14:textId="77777777" w:rsidTr="58788088">
        <w:trPr>
          <w:trHeight w:val="147"/>
        </w:trPr>
        <w:tc>
          <w:tcPr>
            <w:tcW w:w="2477" w:type="dxa"/>
            <w:vAlign w:val="center"/>
          </w:tcPr>
          <w:p w14:paraId="51EE90D8" w14:textId="74CA261A"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Zadržení části Průběžné platby</w:t>
            </w:r>
          </w:p>
        </w:tc>
        <w:tc>
          <w:tcPr>
            <w:tcW w:w="1417" w:type="dxa"/>
            <w:vAlign w:val="center"/>
          </w:tcPr>
          <w:p w14:paraId="48377E6B" w14:textId="59F87FF3"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14.6</w:t>
            </w:r>
          </w:p>
        </w:tc>
        <w:tc>
          <w:tcPr>
            <w:tcW w:w="5376" w:type="dxa"/>
            <w:vAlign w:val="center"/>
          </w:tcPr>
          <w:p w14:paraId="06CB74D2" w14:textId="5EA0C130"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Výše zadržení podle Pod-článku 14.6 činí 10 % z částky každé Průběžné platby, a to bez ohledu na počet současně trvajících porušení povinností uvedených v Pod-článku 14.6</w:t>
            </w:r>
          </w:p>
          <w:p w14:paraId="13F9A172" w14:textId="54A551E5" w:rsidR="00E54AA1" w:rsidRPr="0031390B" w:rsidRDefault="00E54AA1" w:rsidP="00E54AA1">
            <w:pPr>
              <w:spacing w:before="60" w:afterLines="60" w:after="144" w:line="276" w:lineRule="auto"/>
              <w:jc w:val="both"/>
              <w:rPr>
                <w:rFonts w:ascii="Aptos" w:hAnsi="Aptos" w:cs="Segoe UI"/>
                <w:i/>
                <w:iCs/>
                <w:sz w:val="22"/>
                <w:szCs w:val="22"/>
              </w:rPr>
            </w:pPr>
            <w:r w:rsidRPr="0031390B">
              <w:rPr>
                <w:rFonts w:ascii="Aptos" w:hAnsi="Aptos" w:cs="Segoe UI"/>
                <w:sz w:val="22"/>
                <w:szCs w:val="22"/>
              </w:rPr>
              <w:lastRenderedPageBreak/>
              <w:t xml:space="preserve">Maximální celková výše aktuálně zadržených částek podle Pod-článku 14.6 činí </w:t>
            </w:r>
            <w:r w:rsidR="00F6529D" w:rsidRPr="0031390B">
              <w:rPr>
                <w:rFonts w:ascii="Aptos" w:hAnsi="Aptos" w:cs="Segoe UI"/>
                <w:sz w:val="22"/>
                <w:szCs w:val="22"/>
              </w:rPr>
              <w:t>5</w:t>
            </w:r>
            <w:r w:rsidR="00A07662" w:rsidRPr="0031390B">
              <w:rPr>
                <w:rFonts w:ascii="Aptos" w:hAnsi="Aptos" w:cs="Segoe UI"/>
                <w:sz w:val="22"/>
                <w:szCs w:val="22"/>
              </w:rPr>
              <w:t xml:space="preserve"> </w:t>
            </w:r>
            <w:r w:rsidRPr="0031390B">
              <w:rPr>
                <w:rFonts w:ascii="Aptos" w:hAnsi="Aptos" w:cs="Segoe UI"/>
                <w:sz w:val="22"/>
                <w:szCs w:val="22"/>
              </w:rPr>
              <w:t>% z Přijaté smluvní částky (bez DPH)</w:t>
            </w:r>
          </w:p>
        </w:tc>
      </w:tr>
      <w:tr w:rsidR="00E54AA1" w:rsidRPr="0031390B" w14:paraId="0A6A800C" w14:textId="77777777" w:rsidTr="58788088">
        <w:trPr>
          <w:trHeight w:val="147"/>
        </w:trPr>
        <w:tc>
          <w:tcPr>
            <w:tcW w:w="2477" w:type="dxa"/>
            <w:vAlign w:val="center"/>
          </w:tcPr>
          <w:p w14:paraId="536B7925"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lastRenderedPageBreak/>
              <w:t>Měny plateb</w:t>
            </w:r>
          </w:p>
        </w:tc>
        <w:tc>
          <w:tcPr>
            <w:tcW w:w="1417" w:type="dxa"/>
            <w:vAlign w:val="center"/>
          </w:tcPr>
          <w:p w14:paraId="5D137541"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14.15</w:t>
            </w:r>
          </w:p>
        </w:tc>
        <w:tc>
          <w:tcPr>
            <w:tcW w:w="5376" w:type="dxa"/>
            <w:vAlign w:val="center"/>
          </w:tcPr>
          <w:p w14:paraId="4E861F45" w14:textId="77777777"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koruna česká</w:t>
            </w:r>
          </w:p>
        </w:tc>
      </w:tr>
      <w:tr w:rsidR="00E54AA1" w:rsidRPr="0031390B" w14:paraId="58A790E1" w14:textId="77777777" w:rsidTr="58788088">
        <w:trPr>
          <w:trHeight w:val="147"/>
        </w:trPr>
        <w:tc>
          <w:tcPr>
            <w:tcW w:w="2477" w:type="dxa"/>
            <w:vAlign w:val="center"/>
          </w:tcPr>
          <w:p w14:paraId="40D27188" w14:textId="72EC6AEA" w:rsidR="00E54AA1" w:rsidRPr="0031390B" w:rsidRDefault="00E54AA1" w:rsidP="00E54AA1">
            <w:pPr>
              <w:pStyle w:val="Zkladntext"/>
              <w:spacing w:line="276" w:lineRule="auto"/>
              <w:rPr>
                <w:rFonts w:ascii="Aptos" w:hAnsi="Aptos" w:cs="Segoe UI"/>
                <w:b/>
                <w:sz w:val="22"/>
                <w:szCs w:val="22"/>
              </w:rPr>
            </w:pPr>
            <w:r w:rsidRPr="0031390B">
              <w:rPr>
                <w:rFonts w:ascii="Aptos" w:hAnsi="Aptos" w:cs="Segoe UI"/>
                <w:b/>
                <w:sz w:val="22"/>
                <w:szCs w:val="22"/>
              </w:rPr>
              <w:t>Pojištění díla</w:t>
            </w:r>
          </w:p>
          <w:p w14:paraId="32BF0801" w14:textId="5D8DEF38" w:rsidR="00E54AA1" w:rsidRPr="0031390B" w:rsidRDefault="00E54AA1" w:rsidP="00E54AA1">
            <w:pPr>
              <w:pStyle w:val="Zkladntext"/>
              <w:spacing w:line="276" w:lineRule="auto"/>
              <w:jc w:val="left"/>
              <w:rPr>
                <w:rFonts w:ascii="Aptos" w:hAnsi="Aptos" w:cs="Segoe UI"/>
                <w:b/>
                <w:sz w:val="22"/>
                <w:szCs w:val="22"/>
                <w:highlight w:val="green"/>
              </w:rPr>
            </w:pPr>
            <w:r w:rsidRPr="0031390B">
              <w:rPr>
                <w:rFonts w:ascii="Aptos" w:hAnsi="Aptos" w:cs="Segoe UI"/>
                <w:b/>
                <w:sz w:val="22"/>
                <w:szCs w:val="22"/>
              </w:rPr>
              <w:t>(min. limit pojistného plnění)</w:t>
            </w:r>
          </w:p>
        </w:tc>
        <w:tc>
          <w:tcPr>
            <w:tcW w:w="1417" w:type="dxa"/>
            <w:vAlign w:val="center"/>
          </w:tcPr>
          <w:p w14:paraId="65A2D851" w14:textId="70817BEA"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18.2.</w:t>
            </w:r>
          </w:p>
        </w:tc>
        <w:tc>
          <w:tcPr>
            <w:tcW w:w="5376" w:type="dxa"/>
            <w:vAlign w:val="center"/>
          </w:tcPr>
          <w:p w14:paraId="56725DFF" w14:textId="6A334F67" w:rsidR="00E54AA1" w:rsidRPr="0031390B" w:rsidRDefault="00E54AA1" w:rsidP="00E54AA1">
            <w:pPr>
              <w:pStyle w:val="Zkladntext"/>
              <w:spacing w:line="276" w:lineRule="auto"/>
              <w:rPr>
                <w:rFonts w:ascii="Aptos" w:hAnsi="Aptos" w:cs="Segoe UI"/>
                <w:sz w:val="22"/>
                <w:szCs w:val="22"/>
              </w:rPr>
            </w:pPr>
            <w:r w:rsidRPr="0031390B">
              <w:rPr>
                <w:rFonts w:ascii="Aptos" w:hAnsi="Aptos" w:cs="Segoe UI"/>
                <w:sz w:val="22"/>
                <w:szCs w:val="22"/>
              </w:rPr>
              <w:t xml:space="preserve">Pojistná částka se stanoví na novou cenu Díla ve smyslu Pod-článku 18.2, nejméně však ve výši minimálně přijaté smluvní částky (bez DPH) s maximální spoluúčastí ve výši </w:t>
            </w:r>
            <w:proofErr w:type="gramStart"/>
            <w:r w:rsidRPr="0031390B">
              <w:rPr>
                <w:rFonts w:ascii="Aptos" w:hAnsi="Aptos" w:cs="Segoe UI"/>
                <w:sz w:val="22"/>
                <w:szCs w:val="22"/>
              </w:rPr>
              <w:t>500.000,-</w:t>
            </w:r>
            <w:proofErr w:type="gramEnd"/>
            <w:r w:rsidRPr="0031390B">
              <w:rPr>
                <w:rFonts w:ascii="Aptos" w:hAnsi="Aptos" w:cs="Segoe UI"/>
                <w:sz w:val="22"/>
                <w:szCs w:val="22"/>
              </w:rPr>
              <w:t xml:space="preserve"> Kč, pokud není níže uvedeno jinak</w:t>
            </w:r>
          </w:p>
          <w:p w14:paraId="7C8CEBC1" w14:textId="77777777" w:rsidR="00E54AA1" w:rsidRPr="0031390B" w:rsidRDefault="00E54AA1" w:rsidP="00E54AA1">
            <w:pPr>
              <w:pStyle w:val="Zkladntext"/>
              <w:spacing w:line="276" w:lineRule="auto"/>
              <w:rPr>
                <w:rFonts w:ascii="Aptos" w:hAnsi="Aptos" w:cs="Segoe UI"/>
                <w:sz w:val="22"/>
                <w:szCs w:val="22"/>
              </w:rPr>
            </w:pPr>
          </w:p>
          <w:p w14:paraId="453D4F70" w14:textId="5CB6BF52" w:rsidR="00E54AA1" w:rsidRPr="0031390B" w:rsidRDefault="00E54AA1" w:rsidP="00E54AA1">
            <w:pPr>
              <w:pStyle w:val="Zkladntext"/>
              <w:spacing w:line="276" w:lineRule="auto"/>
              <w:rPr>
                <w:rFonts w:ascii="Aptos" w:hAnsi="Aptos" w:cs="Segoe UI"/>
                <w:sz w:val="22"/>
                <w:szCs w:val="22"/>
              </w:rPr>
            </w:pPr>
            <w:r w:rsidRPr="0031390B">
              <w:rPr>
                <w:rFonts w:ascii="Aptos" w:hAnsi="Aptos" w:cs="Segoe UI"/>
                <w:sz w:val="22"/>
                <w:szCs w:val="22"/>
              </w:rPr>
              <w:t>Pro stavebně montážní pojištění zahrnující pojištění majetkových škod „proti všem rizikům“ (</w:t>
            </w:r>
            <w:proofErr w:type="spellStart"/>
            <w:r w:rsidRPr="0031390B">
              <w:rPr>
                <w:rFonts w:ascii="Aptos" w:hAnsi="Aptos" w:cs="Segoe UI"/>
                <w:sz w:val="22"/>
                <w:szCs w:val="22"/>
              </w:rPr>
              <w:t>all</w:t>
            </w:r>
            <w:proofErr w:type="spellEnd"/>
            <w:r w:rsidRPr="0031390B">
              <w:rPr>
                <w:rFonts w:ascii="Aptos" w:hAnsi="Aptos" w:cs="Segoe UI"/>
                <w:sz w:val="22"/>
                <w:szCs w:val="22"/>
              </w:rPr>
              <w:t xml:space="preserve"> risk) se v rámci pojistného nebezpečí „povodeň, záplava“ a „vichřice, krupobití“ stanovuje minimální limit pojistného plnění ve výši 300 mil. Kč pro jednu a všechny pojistné události nastalé za dobu trvání pojištění s maximální spoluúčastí 10 % / min </w:t>
            </w:r>
            <w:proofErr w:type="gramStart"/>
            <w:r w:rsidRPr="0031390B">
              <w:rPr>
                <w:rFonts w:ascii="Aptos" w:hAnsi="Aptos" w:cs="Segoe UI"/>
                <w:sz w:val="22"/>
                <w:szCs w:val="22"/>
              </w:rPr>
              <w:t>250.000,-</w:t>
            </w:r>
            <w:proofErr w:type="gramEnd"/>
            <w:r w:rsidRPr="0031390B">
              <w:rPr>
                <w:rFonts w:ascii="Aptos" w:hAnsi="Aptos" w:cs="Segoe UI"/>
                <w:sz w:val="22"/>
                <w:szCs w:val="22"/>
              </w:rPr>
              <w:t xml:space="preserve"> Kč</w:t>
            </w:r>
          </w:p>
          <w:p w14:paraId="33517FFB" w14:textId="69D6A2E0"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 xml:space="preserve">Pro riziko odcizení a vandalismus se stanovuje minimální limit pojistného plnění ve výši 30.000.000,- Kč pro jednu a všechny pojistné události za dobu trvání pojištění s maximální spoluúčastí ve výši </w:t>
            </w:r>
            <w:proofErr w:type="gramStart"/>
            <w:r w:rsidRPr="0031390B">
              <w:rPr>
                <w:rFonts w:ascii="Aptos" w:hAnsi="Aptos" w:cs="Segoe UI"/>
                <w:sz w:val="22"/>
                <w:szCs w:val="22"/>
              </w:rPr>
              <w:t>20.000,-</w:t>
            </w:r>
            <w:proofErr w:type="gramEnd"/>
            <w:r w:rsidRPr="0031390B">
              <w:rPr>
                <w:rFonts w:ascii="Aptos" w:hAnsi="Aptos" w:cs="Segoe UI"/>
                <w:sz w:val="22"/>
                <w:szCs w:val="22"/>
              </w:rPr>
              <w:t xml:space="preserve"> Kč</w:t>
            </w:r>
          </w:p>
        </w:tc>
      </w:tr>
      <w:tr w:rsidR="00E54AA1" w:rsidRPr="0031390B" w14:paraId="5C2982F4" w14:textId="77777777" w:rsidTr="58788088">
        <w:trPr>
          <w:trHeight w:val="147"/>
        </w:trPr>
        <w:tc>
          <w:tcPr>
            <w:tcW w:w="2477" w:type="dxa"/>
            <w:vAlign w:val="center"/>
          </w:tcPr>
          <w:p w14:paraId="62808AB1" w14:textId="7BF8ECB2" w:rsidR="00E54AA1" w:rsidRPr="0031390B" w:rsidRDefault="00E54AA1" w:rsidP="00E54AA1">
            <w:pPr>
              <w:pStyle w:val="Zkladntext"/>
              <w:spacing w:line="276" w:lineRule="auto"/>
              <w:rPr>
                <w:rFonts w:ascii="Aptos" w:hAnsi="Aptos" w:cs="Segoe UI"/>
                <w:b/>
                <w:sz w:val="22"/>
                <w:szCs w:val="22"/>
              </w:rPr>
            </w:pPr>
            <w:r w:rsidRPr="0031390B">
              <w:rPr>
                <w:rFonts w:ascii="Aptos" w:hAnsi="Aptos" w:cs="Segoe UI"/>
                <w:b/>
                <w:sz w:val="22"/>
                <w:szCs w:val="22"/>
              </w:rPr>
              <w:t>Pojištění díla</w:t>
            </w:r>
          </w:p>
          <w:p w14:paraId="18F294C8" w14:textId="054BE252"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(pojištění rizika výrobce)</w:t>
            </w:r>
          </w:p>
        </w:tc>
        <w:tc>
          <w:tcPr>
            <w:tcW w:w="1417" w:type="dxa"/>
            <w:vAlign w:val="center"/>
          </w:tcPr>
          <w:p w14:paraId="2D42851D" w14:textId="08AEA62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18.2.</w:t>
            </w:r>
          </w:p>
        </w:tc>
        <w:tc>
          <w:tcPr>
            <w:tcW w:w="5376" w:type="dxa"/>
            <w:vAlign w:val="center"/>
          </w:tcPr>
          <w:p w14:paraId="6BF975CF" w14:textId="630E595E"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 xml:space="preserve">Minimální částka pojistného krytí činí 30.000.000,- Kč s maximální spoluúčastí ve výši </w:t>
            </w:r>
            <w:proofErr w:type="gramStart"/>
            <w:r w:rsidRPr="0031390B">
              <w:rPr>
                <w:rFonts w:ascii="Aptos" w:hAnsi="Aptos" w:cs="Segoe UI"/>
                <w:sz w:val="22"/>
                <w:szCs w:val="22"/>
              </w:rPr>
              <w:t>100.000,-</w:t>
            </w:r>
            <w:proofErr w:type="gramEnd"/>
            <w:r w:rsidRPr="0031390B">
              <w:rPr>
                <w:rFonts w:ascii="Aptos" w:hAnsi="Aptos" w:cs="Segoe UI"/>
                <w:sz w:val="22"/>
                <w:szCs w:val="22"/>
              </w:rPr>
              <w:t xml:space="preserve"> Kč </w:t>
            </w:r>
          </w:p>
        </w:tc>
      </w:tr>
      <w:tr w:rsidR="00E54AA1" w:rsidRPr="0031390B" w14:paraId="1E08EF52" w14:textId="77777777" w:rsidTr="58788088">
        <w:trPr>
          <w:trHeight w:val="147"/>
        </w:trPr>
        <w:tc>
          <w:tcPr>
            <w:tcW w:w="2477" w:type="dxa"/>
            <w:vAlign w:val="center"/>
          </w:tcPr>
          <w:p w14:paraId="15D102EC" w14:textId="388761C3" w:rsidR="00E54AA1" w:rsidRPr="0031390B" w:rsidRDefault="00E54AA1" w:rsidP="00E54AA1">
            <w:pPr>
              <w:pStyle w:val="Zkladntext"/>
              <w:spacing w:line="276" w:lineRule="auto"/>
              <w:rPr>
                <w:rFonts w:ascii="Aptos" w:hAnsi="Aptos" w:cs="Segoe UI"/>
                <w:b/>
                <w:sz w:val="22"/>
                <w:szCs w:val="22"/>
              </w:rPr>
            </w:pPr>
            <w:r w:rsidRPr="0031390B">
              <w:rPr>
                <w:rFonts w:ascii="Aptos" w:hAnsi="Aptos" w:cs="Segoe UI"/>
                <w:b/>
                <w:sz w:val="22"/>
                <w:szCs w:val="22"/>
              </w:rPr>
              <w:t>Pojištění díla</w:t>
            </w:r>
          </w:p>
          <w:p w14:paraId="5818A197" w14:textId="0E69D1BB" w:rsidR="00E54AA1" w:rsidRPr="0031390B" w:rsidRDefault="00E54AA1" w:rsidP="00E54AA1">
            <w:pPr>
              <w:pStyle w:val="Zkladntext"/>
              <w:spacing w:line="276" w:lineRule="auto"/>
              <w:rPr>
                <w:rFonts w:ascii="Aptos" w:hAnsi="Aptos" w:cs="Segoe UI"/>
                <w:b/>
                <w:sz w:val="22"/>
                <w:szCs w:val="22"/>
              </w:rPr>
            </w:pPr>
            <w:r w:rsidRPr="0031390B">
              <w:rPr>
                <w:rFonts w:ascii="Aptos" w:hAnsi="Aptos" w:cs="Segoe UI"/>
                <w:b/>
                <w:sz w:val="22"/>
                <w:szCs w:val="22"/>
              </w:rPr>
              <w:t>(pojištění okolního majetku)</w:t>
            </w:r>
          </w:p>
        </w:tc>
        <w:tc>
          <w:tcPr>
            <w:tcW w:w="1417" w:type="dxa"/>
            <w:vAlign w:val="center"/>
          </w:tcPr>
          <w:p w14:paraId="43FBF3CC" w14:textId="3E43F8AF"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18.2</w:t>
            </w:r>
          </w:p>
        </w:tc>
        <w:tc>
          <w:tcPr>
            <w:tcW w:w="5376" w:type="dxa"/>
            <w:vAlign w:val="center"/>
          </w:tcPr>
          <w:p w14:paraId="33C4C010" w14:textId="695A5688"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 xml:space="preserve">Minimální částka pojistného krytí </w:t>
            </w:r>
            <w:proofErr w:type="gramStart"/>
            <w:r w:rsidRPr="0031390B">
              <w:rPr>
                <w:rFonts w:ascii="Aptos" w:hAnsi="Aptos" w:cs="Segoe UI"/>
                <w:sz w:val="22"/>
                <w:szCs w:val="22"/>
              </w:rPr>
              <w:t>100.000.000,-</w:t>
            </w:r>
            <w:proofErr w:type="gramEnd"/>
            <w:r w:rsidRPr="0031390B">
              <w:rPr>
                <w:rFonts w:ascii="Aptos" w:hAnsi="Aptos" w:cs="Segoe UI"/>
                <w:sz w:val="22"/>
                <w:szCs w:val="22"/>
              </w:rPr>
              <w:t xml:space="preserve"> Kč</w:t>
            </w:r>
          </w:p>
        </w:tc>
      </w:tr>
      <w:tr w:rsidR="00E54AA1" w:rsidRPr="0031390B" w14:paraId="20EA8F74" w14:textId="77777777" w:rsidTr="58788088">
        <w:trPr>
          <w:trHeight w:val="147"/>
        </w:trPr>
        <w:tc>
          <w:tcPr>
            <w:tcW w:w="2477" w:type="dxa"/>
            <w:vAlign w:val="center"/>
          </w:tcPr>
          <w:p w14:paraId="19E2850E" w14:textId="41AB8FA3" w:rsidR="00E54AA1" w:rsidRPr="0031390B" w:rsidRDefault="00E54AA1" w:rsidP="00E54AA1">
            <w:pPr>
              <w:pStyle w:val="Zkladntext"/>
              <w:spacing w:line="276" w:lineRule="auto"/>
              <w:rPr>
                <w:rFonts w:ascii="Aptos" w:hAnsi="Aptos" w:cs="Segoe UI"/>
                <w:b/>
                <w:sz w:val="22"/>
                <w:szCs w:val="22"/>
              </w:rPr>
            </w:pPr>
            <w:proofErr w:type="spellStart"/>
            <w:r w:rsidRPr="0031390B">
              <w:rPr>
                <w:rFonts w:ascii="Aptos" w:hAnsi="Aptos" w:cs="Segoe UI"/>
                <w:b/>
                <w:sz w:val="22"/>
                <w:szCs w:val="22"/>
              </w:rPr>
              <w:t>Claimy</w:t>
            </w:r>
            <w:proofErr w:type="spellEnd"/>
            <w:r w:rsidRPr="0031390B">
              <w:rPr>
                <w:rFonts w:ascii="Aptos" w:hAnsi="Aptos" w:cs="Segoe UI"/>
                <w:b/>
                <w:sz w:val="22"/>
                <w:szCs w:val="22"/>
              </w:rPr>
              <w:t xml:space="preserve"> zhotovitele</w:t>
            </w:r>
          </w:p>
        </w:tc>
        <w:tc>
          <w:tcPr>
            <w:tcW w:w="1417" w:type="dxa"/>
            <w:vAlign w:val="center"/>
          </w:tcPr>
          <w:p w14:paraId="22171BD7" w14:textId="3A3D27E5"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20.1</w:t>
            </w:r>
          </w:p>
        </w:tc>
        <w:tc>
          <w:tcPr>
            <w:tcW w:w="5376" w:type="dxa"/>
            <w:vAlign w:val="center"/>
          </w:tcPr>
          <w:p w14:paraId="27D5FCA3" w14:textId="5CFC0B5D"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 xml:space="preserve">Při uplatnění </w:t>
            </w:r>
            <w:proofErr w:type="spellStart"/>
            <w:r w:rsidRPr="0031390B">
              <w:rPr>
                <w:rFonts w:ascii="Aptos" w:hAnsi="Aptos" w:cs="Segoe UI"/>
                <w:sz w:val="22"/>
                <w:szCs w:val="22"/>
              </w:rPr>
              <w:t>Claimů</w:t>
            </w:r>
            <w:proofErr w:type="spellEnd"/>
            <w:r w:rsidRPr="0031390B">
              <w:rPr>
                <w:rFonts w:ascii="Aptos" w:hAnsi="Aptos" w:cs="Segoe UI"/>
                <w:sz w:val="22"/>
                <w:szCs w:val="22"/>
              </w:rPr>
              <w:t xml:space="preserve"> se použijí v aktuálním znění: Metodika pro kvantifikaci finančních nároků při zpoždění a prodloužení vydaná SFDI a Metodika pro časové řízení u stavebních zakázek podle smluvních podmínek FIDIC vydaná SFDI; Metodiky jsou dostupné na </w:t>
            </w:r>
            <w:hyperlink r:id="rId10" w:history="1">
              <w:r w:rsidRPr="0031390B">
                <w:rPr>
                  <w:rStyle w:val="Hypertextovodkaz"/>
                  <w:rFonts w:ascii="Aptos" w:hAnsi="Aptos" w:cs="Segoe UI"/>
                  <w:sz w:val="22"/>
                  <w:szCs w:val="22"/>
                </w:rPr>
                <w:t>https://www.sfdi.cz/pravidla-metodiky-a-ceniky/metodiky/</w:t>
              </w:r>
            </w:hyperlink>
          </w:p>
          <w:p w14:paraId="6B93D1F5" w14:textId="3BAE242E" w:rsidR="00E54AA1" w:rsidRPr="0031390B" w:rsidRDefault="00E54AA1" w:rsidP="00E54AA1">
            <w:pPr>
              <w:spacing w:before="60" w:afterLines="60" w:after="144" w:line="276" w:lineRule="auto"/>
              <w:jc w:val="both"/>
              <w:rPr>
                <w:rFonts w:ascii="Aptos" w:hAnsi="Aptos" w:cs="Segoe UI"/>
                <w:sz w:val="22"/>
                <w:szCs w:val="22"/>
              </w:rPr>
            </w:pPr>
          </w:p>
        </w:tc>
      </w:tr>
      <w:tr w:rsidR="00E54AA1" w:rsidRPr="0031390B" w14:paraId="1B3AD495" w14:textId="77777777" w:rsidTr="58788088">
        <w:trPr>
          <w:trHeight w:val="147"/>
        </w:trPr>
        <w:tc>
          <w:tcPr>
            <w:tcW w:w="2477" w:type="dxa"/>
            <w:vAlign w:val="center"/>
          </w:tcPr>
          <w:p w14:paraId="2F6DF9A1" w14:textId="77777777" w:rsidR="00E54AA1" w:rsidRPr="0031390B" w:rsidRDefault="00E54AA1" w:rsidP="00E54AA1">
            <w:pPr>
              <w:pStyle w:val="Zkladntext"/>
              <w:spacing w:line="276" w:lineRule="auto"/>
              <w:jc w:val="left"/>
              <w:rPr>
                <w:rFonts w:ascii="Aptos" w:hAnsi="Aptos" w:cs="Segoe UI"/>
                <w:b/>
                <w:sz w:val="22"/>
                <w:szCs w:val="22"/>
              </w:rPr>
            </w:pPr>
            <w:r w:rsidRPr="0031390B">
              <w:rPr>
                <w:rFonts w:ascii="Aptos" w:hAnsi="Aptos" w:cs="Segoe UI"/>
                <w:b/>
                <w:sz w:val="22"/>
                <w:szCs w:val="22"/>
              </w:rPr>
              <w:t>Způsob rozhodování sporů</w:t>
            </w:r>
          </w:p>
        </w:tc>
        <w:tc>
          <w:tcPr>
            <w:tcW w:w="1417" w:type="dxa"/>
            <w:vAlign w:val="center"/>
          </w:tcPr>
          <w:p w14:paraId="290E72ED" w14:textId="77777777" w:rsidR="00E54AA1" w:rsidRPr="0031390B" w:rsidRDefault="00E54AA1" w:rsidP="00E54AA1">
            <w:pPr>
              <w:pStyle w:val="Zkladntext"/>
              <w:spacing w:line="276" w:lineRule="auto"/>
              <w:jc w:val="left"/>
              <w:rPr>
                <w:rFonts w:ascii="Aptos" w:hAnsi="Aptos" w:cs="Segoe UI"/>
                <w:sz w:val="22"/>
                <w:szCs w:val="22"/>
              </w:rPr>
            </w:pPr>
            <w:r w:rsidRPr="0031390B">
              <w:rPr>
                <w:rFonts w:ascii="Aptos" w:hAnsi="Aptos" w:cs="Segoe UI"/>
                <w:sz w:val="22"/>
                <w:szCs w:val="22"/>
              </w:rPr>
              <w:t>20.5, 20.6</w:t>
            </w:r>
          </w:p>
        </w:tc>
        <w:tc>
          <w:tcPr>
            <w:tcW w:w="5376" w:type="dxa"/>
            <w:vAlign w:val="center"/>
          </w:tcPr>
          <w:p w14:paraId="2A5BB4FB" w14:textId="77777777" w:rsidR="00E54AA1" w:rsidRPr="0031390B" w:rsidRDefault="00E54AA1" w:rsidP="00E54AA1">
            <w:pPr>
              <w:spacing w:before="60" w:afterLines="60" w:after="144" w:line="276" w:lineRule="auto"/>
              <w:jc w:val="both"/>
              <w:rPr>
                <w:rFonts w:ascii="Aptos" w:hAnsi="Aptos" w:cs="Segoe UI"/>
                <w:sz w:val="22"/>
                <w:szCs w:val="22"/>
              </w:rPr>
            </w:pPr>
            <w:r w:rsidRPr="0031390B">
              <w:rPr>
                <w:rFonts w:ascii="Aptos" w:hAnsi="Aptos" w:cs="Segoe UI"/>
                <w:sz w:val="22"/>
                <w:szCs w:val="22"/>
              </w:rPr>
              <w:t xml:space="preserve">Rozhodování před obecným soudem </w:t>
            </w:r>
          </w:p>
        </w:tc>
      </w:tr>
    </w:tbl>
    <w:p w14:paraId="3AFA11F9" w14:textId="77777777" w:rsidR="00353D28" w:rsidRPr="0031390B" w:rsidRDefault="00353D28" w:rsidP="00353D28">
      <w:pPr>
        <w:spacing w:after="120" w:line="276" w:lineRule="auto"/>
        <w:rPr>
          <w:rFonts w:ascii="Aptos" w:hAnsi="Aptos" w:cs="Segoe UI"/>
          <w:sz w:val="22"/>
          <w:szCs w:val="22"/>
        </w:rPr>
      </w:pPr>
    </w:p>
    <w:p w14:paraId="26905FFD" w14:textId="77777777" w:rsidR="00353D28" w:rsidRPr="0031390B" w:rsidRDefault="00353D28" w:rsidP="00353D28">
      <w:pPr>
        <w:spacing w:after="120" w:line="276" w:lineRule="auto"/>
        <w:rPr>
          <w:rFonts w:ascii="Aptos" w:hAnsi="Aptos" w:cs="Segoe UI"/>
          <w:sz w:val="22"/>
          <w:szCs w:val="22"/>
        </w:rPr>
      </w:pPr>
      <w:r w:rsidRPr="0031390B">
        <w:rPr>
          <w:rFonts w:ascii="Aptos" w:hAnsi="Aptos" w:cs="Segoe UI"/>
          <w:sz w:val="22"/>
          <w:szCs w:val="22"/>
        </w:rPr>
        <w:lastRenderedPageBreak/>
        <w:t xml:space="preserve">Dne: </w:t>
      </w:r>
      <w:r w:rsidRPr="0031390B">
        <w:rPr>
          <w:rFonts w:ascii="Aptos" w:hAnsi="Aptos" w:cs="Segoe UI"/>
          <w:sz w:val="22"/>
          <w:szCs w:val="22"/>
        </w:rPr>
        <w:tab/>
      </w:r>
      <w:r w:rsidRPr="0031390B">
        <w:rPr>
          <w:rFonts w:ascii="Aptos" w:hAnsi="Aptos" w:cs="Segoe UI"/>
          <w:sz w:val="22"/>
          <w:szCs w:val="22"/>
        </w:rPr>
        <w:tab/>
        <w:t>________________________________</w:t>
      </w:r>
    </w:p>
    <w:p w14:paraId="0BBF4148" w14:textId="77777777" w:rsidR="00353D28" w:rsidRPr="0031390B" w:rsidRDefault="00353D28" w:rsidP="00353D28">
      <w:pPr>
        <w:spacing w:after="120" w:line="276" w:lineRule="auto"/>
        <w:rPr>
          <w:rFonts w:ascii="Aptos" w:hAnsi="Aptos" w:cs="Segoe UI"/>
          <w:sz w:val="22"/>
          <w:szCs w:val="22"/>
        </w:rPr>
      </w:pPr>
      <w:r w:rsidRPr="0031390B">
        <w:rPr>
          <w:rFonts w:ascii="Aptos" w:hAnsi="Aptos" w:cs="Segoe UI"/>
          <w:sz w:val="22"/>
          <w:szCs w:val="22"/>
        </w:rPr>
        <w:t>Jméno:</w:t>
      </w:r>
      <w:r w:rsidRPr="0031390B">
        <w:rPr>
          <w:rFonts w:ascii="Aptos" w:hAnsi="Aptos" w:cs="Segoe UI"/>
          <w:sz w:val="22"/>
          <w:szCs w:val="22"/>
        </w:rPr>
        <w:tab/>
      </w:r>
      <w:r w:rsidRPr="0031390B">
        <w:rPr>
          <w:rFonts w:ascii="Aptos" w:hAnsi="Aptos" w:cs="Segoe UI"/>
          <w:sz w:val="22"/>
          <w:szCs w:val="22"/>
        </w:rPr>
        <w:tab/>
        <w:t xml:space="preserve">________________________________ </w:t>
      </w:r>
    </w:p>
    <w:p w14:paraId="43382EDD" w14:textId="77777777" w:rsidR="00353D28" w:rsidRPr="0031390B" w:rsidRDefault="00353D28" w:rsidP="00353D28">
      <w:pPr>
        <w:spacing w:after="120" w:line="276" w:lineRule="auto"/>
        <w:rPr>
          <w:rFonts w:ascii="Aptos" w:hAnsi="Aptos" w:cs="Segoe UI"/>
          <w:sz w:val="22"/>
          <w:szCs w:val="22"/>
        </w:rPr>
      </w:pPr>
      <w:r w:rsidRPr="0031390B">
        <w:rPr>
          <w:rFonts w:ascii="Aptos" w:hAnsi="Aptos" w:cs="Segoe UI"/>
          <w:sz w:val="22"/>
          <w:szCs w:val="22"/>
        </w:rPr>
        <w:t>Funkce:</w:t>
      </w:r>
      <w:r w:rsidRPr="0031390B">
        <w:rPr>
          <w:rFonts w:ascii="Aptos" w:hAnsi="Aptos" w:cs="Segoe UI"/>
          <w:sz w:val="22"/>
          <w:szCs w:val="22"/>
        </w:rPr>
        <w:tab/>
        <w:t>________________________________</w:t>
      </w:r>
    </w:p>
    <w:p w14:paraId="5D6AA79B" w14:textId="77777777" w:rsidR="00353D28" w:rsidRPr="0031390B" w:rsidRDefault="00353D28" w:rsidP="00353D28">
      <w:pPr>
        <w:spacing w:after="120" w:line="276" w:lineRule="auto"/>
        <w:rPr>
          <w:rFonts w:ascii="Aptos" w:hAnsi="Aptos" w:cs="Segoe UI"/>
          <w:sz w:val="22"/>
          <w:szCs w:val="22"/>
        </w:rPr>
      </w:pPr>
      <w:proofErr w:type="gramStart"/>
      <w:r w:rsidRPr="0031390B">
        <w:rPr>
          <w:rFonts w:ascii="Aptos" w:hAnsi="Aptos" w:cs="Segoe UI"/>
          <w:sz w:val="22"/>
          <w:szCs w:val="22"/>
        </w:rPr>
        <w:t xml:space="preserve">Podpis:   </w:t>
      </w:r>
      <w:proofErr w:type="gramEnd"/>
      <w:r w:rsidRPr="0031390B">
        <w:rPr>
          <w:rFonts w:ascii="Aptos" w:hAnsi="Aptos" w:cs="Segoe UI"/>
          <w:sz w:val="22"/>
          <w:szCs w:val="22"/>
        </w:rPr>
        <w:t xml:space="preserve">         _______________________________</w:t>
      </w:r>
      <w:r w:rsidR="001C0C1E" w:rsidRPr="0031390B">
        <w:rPr>
          <w:rFonts w:ascii="Aptos" w:hAnsi="Aptos" w:cs="Segoe UI"/>
          <w:sz w:val="22"/>
          <w:szCs w:val="22"/>
        </w:rPr>
        <w:t>_</w:t>
      </w:r>
    </w:p>
    <w:p w14:paraId="5FACBE8C" w14:textId="77777777" w:rsidR="00353D28" w:rsidRPr="0031390B" w:rsidRDefault="00353D28" w:rsidP="00353D28">
      <w:pPr>
        <w:spacing w:after="120" w:line="276" w:lineRule="auto"/>
        <w:rPr>
          <w:rFonts w:ascii="Aptos" w:hAnsi="Aptos" w:cs="Segoe UI"/>
          <w:sz w:val="22"/>
          <w:szCs w:val="22"/>
        </w:rPr>
      </w:pPr>
      <w:r w:rsidRPr="0031390B">
        <w:rPr>
          <w:rFonts w:ascii="Aptos" w:hAnsi="Aptos" w:cs="Segoe UI"/>
          <w:b/>
          <w:bCs/>
          <w:sz w:val="22"/>
          <w:szCs w:val="22"/>
          <w:highlight w:val="yellow"/>
        </w:rPr>
        <w:t>[bude doplněno účastníkem]</w:t>
      </w:r>
    </w:p>
    <w:p w14:paraId="0116E784" w14:textId="77777777" w:rsidR="00353D28" w:rsidRPr="0031390B" w:rsidRDefault="00353D28" w:rsidP="009E47D5">
      <w:pPr>
        <w:pStyle w:val="Zkladntext"/>
        <w:spacing w:before="480" w:after="360" w:line="276" w:lineRule="auto"/>
        <w:rPr>
          <w:rFonts w:ascii="Aptos" w:hAnsi="Aptos" w:cs="Segoe UI"/>
          <w:bCs/>
          <w:sz w:val="22"/>
          <w:szCs w:val="22"/>
        </w:rPr>
      </w:pPr>
    </w:p>
    <w:p w14:paraId="66BC6095" w14:textId="77777777" w:rsidR="001977FF" w:rsidRPr="0031390B" w:rsidRDefault="001977FF">
      <w:pPr>
        <w:rPr>
          <w:rFonts w:ascii="Aptos" w:hAnsi="Aptos" w:cs="Segoe UI"/>
          <w:sz w:val="22"/>
          <w:szCs w:val="22"/>
          <w:highlight w:val="yellow"/>
        </w:rPr>
      </w:pPr>
    </w:p>
    <w:sectPr w:rsidR="001977FF" w:rsidRPr="0031390B" w:rsidSect="00E859A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1E6CB" w14:textId="77777777" w:rsidR="00F20F8A" w:rsidRDefault="00F20F8A" w:rsidP="00A31257">
      <w:r>
        <w:separator/>
      </w:r>
    </w:p>
  </w:endnote>
  <w:endnote w:type="continuationSeparator" w:id="0">
    <w:p w14:paraId="0B9AA882" w14:textId="77777777" w:rsidR="00F20F8A" w:rsidRDefault="00F20F8A" w:rsidP="00A31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05B1" w14:textId="77777777" w:rsidR="006A7E43" w:rsidRPr="004D3980" w:rsidRDefault="006A7E43">
    <w:pPr>
      <w:pStyle w:val="Zpat"/>
      <w:jc w:val="center"/>
      <w:rPr>
        <w:rFonts w:ascii="Aptos" w:hAnsi="Aptos" w:cs="Segoe UI"/>
      </w:rPr>
    </w:pPr>
    <w:r w:rsidRPr="004D3980">
      <w:rPr>
        <w:rFonts w:ascii="Aptos" w:hAnsi="Aptos" w:cs="Segoe UI"/>
      </w:rPr>
      <w:t xml:space="preserve">Stránka </w:t>
    </w:r>
    <w:r w:rsidRPr="004D3980">
      <w:rPr>
        <w:rFonts w:ascii="Aptos" w:hAnsi="Aptos" w:cs="Segoe UI"/>
        <w:b/>
        <w:bCs/>
      </w:rPr>
      <w:fldChar w:fldCharType="begin"/>
    </w:r>
    <w:r w:rsidRPr="004D3980">
      <w:rPr>
        <w:rFonts w:ascii="Aptos" w:hAnsi="Aptos" w:cs="Segoe UI"/>
        <w:b/>
        <w:bCs/>
      </w:rPr>
      <w:instrText>PAGE</w:instrText>
    </w:r>
    <w:r w:rsidRPr="004D3980">
      <w:rPr>
        <w:rFonts w:ascii="Aptos" w:hAnsi="Aptos" w:cs="Segoe UI"/>
        <w:b/>
        <w:bCs/>
      </w:rPr>
      <w:fldChar w:fldCharType="separate"/>
    </w:r>
    <w:r w:rsidR="00972CCF" w:rsidRPr="004D3980">
      <w:rPr>
        <w:rFonts w:ascii="Aptos" w:hAnsi="Aptos" w:cs="Segoe UI"/>
        <w:b/>
        <w:bCs/>
        <w:noProof/>
      </w:rPr>
      <w:t>1</w:t>
    </w:r>
    <w:r w:rsidRPr="004D3980">
      <w:rPr>
        <w:rFonts w:ascii="Aptos" w:hAnsi="Aptos" w:cs="Segoe UI"/>
        <w:b/>
        <w:bCs/>
      </w:rPr>
      <w:fldChar w:fldCharType="end"/>
    </w:r>
    <w:r w:rsidRPr="004D3980">
      <w:rPr>
        <w:rFonts w:ascii="Aptos" w:hAnsi="Aptos" w:cs="Segoe UI"/>
      </w:rPr>
      <w:t xml:space="preserve"> z </w:t>
    </w:r>
    <w:r w:rsidRPr="004D3980">
      <w:rPr>
        <w:rFonts w:ascii="Aptos" w:hAnsi="Aptos" w:cs="Segoe UI"/>
        <w:b/>
        <w:bCs/>
      </w:rPr>
      <w:fldChar w:fldCharType="begin"/>
    </w:r>
    <w:r w:rsidRPr="004D3980">
      <w:rPr>
        <w:rFonts w:ascii="Aptos" w:hAnsi="Aptos" w:cs="Segoe UI"/>
        <w:b/>
        <w:bCs/>
      </w:rPr>
      <w:instrText>NUMPAGES</w:instrText>
    </w:r>
    <w:r w:rsidRPr="004D3980">
      <w:rPr>
        <w:rFonts w:ascii="Aptos" w:hAnsi="Aptos" w:cs="Segoe UI"/>
        <w:b/>
        <w:bCs/>
      </w:rPr>
      <w:fldChar w:fldCharType="separate"/>
    </w:r>
    <w:r w:rsidR="00972CCF" w:rsidRPr="004D3980">
      <w:rPr>
        <w:rFonts w:ascii="Aptos" w:hAnsi="Aptos" w:cs="Segoe UI"/>
        <w:b/>
        <w:bCs/>
        <w:noProof/>
      </w:rPr>
      <w:t>5</w:t>
    </w:r>
    <w:r w:rsidRPr="004D3980">
      <w:rPr>
        <w:rFonts w:ascii="Aptos" w:hAnsi="Aptos" w:cs="Segoe UI"/>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BD5C4" w14:textId="77777777" w:rsidR="00F20F8A" w:rsidRDefault="00F20F8A" w:rsidP="00A31257">
      <w:r>
        <w:separator/>
      </w:r>
    </w:p>
  </w:footnote>
  <w:footnote w:type="continuationSeparator" w:id="0">
    <w:p w14:paraId="415E9D74" w14:textId="77777777" w:rsidR="00F20F8A" w:rsidRDefault="00F20F8A" w:rsidP="00A31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D043F"/>
    <w:multiLevelType w:val="hybridMultilevel"/>
    <w:tmpl w:val="4F0CDCFE"/>
    <w:lvl w:ilvl="0" w:tplc="BA3053DA">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4BC1F21"/>
    <w:multiLevelType w:val="hybridMultilevel"/>
    <w:tmpl w:val="BDECB996"/>
    <w:lvl w:ilvl="0" w:tplc="05ECAC36">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8A41418"/>
    <w:multiLevelType w:val="hybridMultilevel"/>
    <w:tmpl w:val="164808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FC03B44"/>
    <w:multiLevelType w:val="hybridMultilevel"/>
    <w:tmpl w:val="CE9A9C1C"/>
    <w:lvl w:ilvl="0" w:tplc="F18E77C6">
      <w:start w:val="1"/>
      <w:numFmt w:val="low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1781E1F"/>
    <w:multiLevelType w:val="multilevel"/>
    <w:tmpl w:val="9962C91A"/>
    <w:lvl w:ilvl="0">
      <w:start w:val="1"/>
      <w:numFmt w:val="decimal"/>
      <w:pStyle w:val="Nadpis1"/>
      <w:lvlText w:val="%1."/>
      <w:lvlJc w:val="left"/>
      <w:pPr>
        <w:ind w:left="502"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Nadpis2"/>
      <w:lvlText w:val="%1.%2"/>
      <w:lvlJc w:val="left"/>
      <w:pPr>
        <w:tabs>
          <w:tab w:val="num" w:pos="718"/>
        </w:tabs>
        <w:ind w:left="718"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lowerRoman"/>
      <w:pStyle w:val="Styl1"/>
      <w:lvlText w:val="(%3)"/>
      <w:lvlJc w:val="left"/>
      <w:pPr>
        <w:tabs>
          <w:tab w:val="num" w:pos="862"/>
        </w:tabs>
        <w:ind w:left="862" w:hanging="720"/>
      </w:pPr>
      <w:rPr>
        <w:rFonts w:hint="default"/>
        <w:b w:val="0"/>
        <w:i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Nadpis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dpis6"/>
      <w:lvlText w:val="%1.%2.%3.%4.%5.%6"/>
      <w:lvlJc w:val="left"/>
      <w:pPr>
        <w:tabs>
          <w:tab w:val="num" w:pos="1152"/>
        </w:tabs>
        <w:ind w:left="1152" w:hanging="1152"/>
      </w:pPr>
      <w:rPr>
        <w:rFonts w:cs="Times New Roman" w:hint="default"/>
      </w:rPr>
    </w:lvl>
    <w:lvl w:ilvl="6">
      <w:start w:val="1"/>
      <w:numFmt w:val="decimal"/>
      <w:pStyle w:val="Nadpis7"/>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6E9945B6"/>
    <w:multiLevelType w:val="hybridMultilevel"/>
    <w:tmpl w:val="4D66C7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383211398">
    <w:abstractNumId w:val="5"/>
  </w:num>
  <w:num w:numId="2" w16cid:durableId="1229002325">
    <w:abstractNumId w:val="4"/>
  </w:num>
  <w:num w:numId="3" w16cid:durableId="1663967748">
    <w:abstractNumId w:val="3"/>
  </w:num>
  <w:num w:numId="4" w16cid:durableId="462581676">
    <w:abstractNumId w:val="1"/>
  </w:num>
  <w:num w:numId="5" w16cid:durableId="1854763717">
    <w:abstractNumId w:val="2"/>
  </w:num>
  <w:num w:numId="6" w16cid:durableId="808060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7D5"/>
    <w:rsid w:val="00002577"/>
    <w:rsid w:val="0000526C"/>
    <w:rsid w:val="00014EE1"/>
    <w:rsid w:val="00023B63"/>
    <w:rsid w:val="00025896"/>
    <w:rsid w:val="00035EE1"/>
    <w:rsid w:val="000420D1"/>
    <w:rsid w:val="00044454"/>
    <w:rsid w:val="00044915"/>
    <w:rsid w:val="00046942"/>
    <w:rsid w:val="00065F88"/>
    <w:rsid w:val="000667C3"/>
    <w:rsid w:val="00066C40"/>
    <w:rsid w:val="00066FAF"/>
    <w:rsid w:val="00067AB3"/>
    <w:rsid w:val="000703E8"/>
    <w:rsid w:val="00070C30"/>
    <w:rsid w:val="00092A85"/>
    <w:rsid w:val="00093956"/>
    <w:rsid w:val="00097D46"/>
    <w:rsid w:val="000A1124"/>
    <w:rsid w:val="000A7BE7"/>
    <w:rsid w:val="000B20D3"/>
    <w:rsid w:val="000B38B5"/>
    <w:rsid w:val="000B685C"/>
    <w:rsid w:val="000D34EE"/>
    <w:rsid w:val="000E504F"/>
    <w:rsid w:val="000E566C"/>
    <w:rsid w:val="000E7621"/>
    <w:rsid w:val="000F0097"/>
    <w:rsid w:val="00101D00"/>
    <w:rsid w:val="00102903"/>
    <w:rsid w:val="00110282"/>
    <w:rsid w:val="0014336A"/>
    <w:rsid w:val="001453C4"/>
    <w:rsid w:val="00150110"/>
    <w:rsid w:val="00152159"/>
    <w:rsid w:val="001552BE"/>
    <w:rsid w:val="0015546B"/>
    <w:rsid w:val="00157268"/>
    <w:rsid w:val="00157DA6"/>
    <w:rsid w:val="00161B06"/>
    <w:rsid w:val="001622F7"/>
    <w:rsid w:val="0016577B"/>
    <w:rsid w:val="00177CCE"/>
    <w:rsid w:val="00186760"/>
    <w:rsid w:val="0018740B"/>
    <w:rsid w:val="0019039B"/>
    <w:rsid w:val="00191958"/>
    <w:rsid w:val="001977FF"/>
    <w:rsid w:val="001B05DA"/>
    <w:rsid w:val="001C0C1E"/>
    <w:rsid w:val="001D006E"/>
    <w:rsid w:val="001F3C27"/>
    <w:rsid w:val="002078B0"/>
    <w:rsid w:val="0021091F"/>
    <w:rsid w:val="002121C2"/>
    <w:rsid w:val="00225D40"/>
    <w:rsid w:val="002274AC"/>
    <w:rsid w:val="00233164"/>
    <w:rsid w:val="002346DF"/>
    <w:rsid w:val="00242488"/>
    <w:rsid w:val="0024337F"/>
    <w:rsid w:val="002433F0"/>
    <w:rsid w:val="00250367"/>
    <w:rsid w:val="00260268"/>
    <w:rsid w:val="00261BC6"/>
    <w:rsid w:val="00263415"/>
    <w:rsid w:val="00267C88"/>
    <w:rsid w:val="00275EFB"/>
    <w:rsid w:val="002762F1"/>
    <w:rsid w:val="00285BCA"/>
    <w:rsid w:val="002A04F2"/>
    <w:rsid w:val="002B5CAE"/>
    <w:rsid w:val="002B7C45"/>
    <w:rsid w:val="002C2380"/>
    <w:rsid w:val="002D3DF7"/>
    <w:rsid w:val="002F1582"/>
    <w:rsid w:val="00307FDA"/>
    <w:rsid w:val="0031069F"/>
    <w:rsid w:val="00311FE4"/>
    <w:rsid w:val="003123AC"/>
    <w:rsid w:val="0031390B"/>
    <w:rsid w:val="00314E2B"/>
    <w:rsid w:val="00333FEF"/>
    <w:rsid w:val="00350AAD"/>
    <w:rsid w:val="00353D28"/>
    <w:rsid w:val="00374DE4"/>
    <w:rsid w:val="00375052"/>
    <w:rsid w:val="00381096"/>
    <w:rsid w:val="003A3474"/>
    <w:rsid w:val="003A4C2B"/>
    <w:rsid w:val="003B1BF3"/>
    <w:rsid w:val="003B204A"/>
    <w:rsid w:val="003B686D"/>
    <w:rsid w:val="003C0898"/>
    <w:rsid w:val="003D33A5"/>
    <w:rsid w:val="003D3779"/>
    <w:rsid w:val="003D4990"/>
    <w:rsid w:val="003E6D14"/>
    <w:rsid w:val="003F4F7D"/>
    <w:rsid w:val="00401287"/>
    <w:rsid w:val="00413833"/>
    <w:rsid w:val="00415233"/>
    <w:rsid w:val="004263AC"/>
    <w:rsid w:val="00437F2C"/>
    <w:rsid w:val="00446D53"/>
    <w:rsid w:val="00447201"/>
    <w:rsid w:val="0045125F"/>
    <w:rsid w:val="004542F2"/>
    <w:rsid w:val="00460976"/>
    <w:rsid w:val="004703A2"/>
    <w:rsid w:val="00471744"/>
    <w:rsid w:val="00481C40"/>
    <w:rsid w:val="00487D8A"/>
    <w:rsid w:val="004A0E7D"/>
    <w:rsid w:val="004A1F6B"/>
    <w:rsid w:val="004A3044"/>
    <w:rsid w:val="004A4549"/>
    <w:rsid w:val="004C1417"/>
    <w:rsid w:val="004C24F3"/>
    <w:rsid w:val="004C7812"/>
    <w:rsid w:val="004D0198"/>
    <w:rsid w:val="004D3980"/>
    <w:rsid w:val="004D5BF4"/>
    <w:rsid w:val="004E0F0D"/>
    <w:rsid w:val="004E1148"/>
    <w:rsid w:val="004E77F2"/>
    <w:rsid w:val="004F124C"/>
    <w:rsid w:val="004F6CB4"/>
    <w:rsid w:val="005112DB"/>
    <w:rsid w:val="0051154C"/>
    <w:rsid w:val="00513252"/>
    <w:rsid w:val="00513C2D"/>
    <w:rsid w:val="00522EEE"/>
    <w:rsid w:val="0053161B"/>
    <w:rsid w:val="00540F31"/>
    <w:rsid w:val="00546BE1"/>
    <w:rsid w:val="00555179"/>
    <w:rsid w:val="00555D00"/>
    <w:rsid w:val="0056453A"/>
    <w:rsid w:val="005657AD"/>
    <w:rsid w:val="00576F3B"/>
    <w:rsid w:val="00577029"/>
    <w:rsid w:val="0058550F"/>
    <w:rsid w:val="005A5000"/>
    <w:rsid w:val="005C4E31"/>
    <w:rsid w:val="005E5AB5"/>
    <w:rsid w:val="005E6A7E"/>
    <w:rsid w:val="005F22DF"/>
    <w:rsid w:val="00615A6B"/>
    <w:rsid w:val="00630E56"/>
    <w:rsid w:val="00634C03"/>
    <w:rsid w:val="00646B33"/>
    <w:rsid w:val="00646D50"/>
    <w:rsid w:val="0065328E"/>
    <w:rsid w:val="00654932"/>
    <w:rsid w:val="00655D0E"/>
    <w:rsid w:val="0066478F"/>
    <w:rsid w:val="00666344"/>
    <w:rsid w:val="00675F06"/>
    <w:rsid w:val="0068000D"/>
    <w:rsid w:val="00682987"/>
    <w:rsid w:val="006906F4"/>
    <w:rsid w:val="00696D37"/>
    <w:rsid w:val="006A00C7"/>
    <w:rsid w:val="006A7E43"/>
    <w:rsid w:val="006C09B1"/>
    <w:rsid w:val="006C5D0B"/>
    <w:rsid w:val="006D7819"/>
    <w:rsid w:val="006D798D"/>
    <w:rsid w:val="006F01B7"/>
    <w:rsid w:val="00707160"/>
    <w:rsid w:val="00710BFC"/>
    <w:rsid w:val="007116A8"/>
    <w:rsid w:val="00711D70"/>
    <w:rsid w:val="00725FE9"/>
    <w:rsid w:val="00727F78"/>
    <w:rsid w:val="00742040"/>
    <w:rsid w:val="00753167"/>
    <w:rsid w:val="00762A9D"/>
    <w:rsid w:val="0078665A"/>
    <w:rsid w:val="00787EF9"/>
    <w:rsid w:val="0079062F"/>
    <w:rsid w:val="00792953"/>
    <w:rsid w:val="007A1E31"/>
    <w:rsid w:val="007A206F"/>
    <w:rsid w:val="007A32B3"/>
    <w:rsid w:val="007B0842"/>
    <w:rsid w:val="007B21C7"/>
    <w:rsid w:val="007B7242"/>
    <w:rsid w:val="007D0604"/>
    <w:rsid w:val="007D3941"/>
    <w:rsid w:val="007D565D"/>
    <w:rsid w:val="00800EC7"/>
    <w:rsid w:val="0080443B"/>
    <w:rsid w:val="00821CBE"/>
    <w:rsid w:val="00835588"/>
    <w:rsid w:val="00841400"/>
    <w:rsid w:val="0084229C"/>
    <w:rsid w:val="0084413E"/>
    <w:rsid w:val="00857558"/>
    <w:rsid w:val="00866A6F"/>
    <w:rsid w:val="008712E4"/>
    <w:rsid w:val="008837D7"/>
    <w:rsid w:val="0089021A"/>
    <w:rsid w:val="00892664"/>
    <w:rsid w:val="008A69DA"/>
    <w:rsid w:val="008B27B0"/>
    <w:rsid w:val="008B419E"/>
    <w:rsid w:val="008C0BD6"/>
    <w:rsid w:val="008C424B"/>
    <w:rsid w:val="008C7634"/>
    <w:rsid w:val="008D4A99"/>
    <w:rsid w:val="008D7FA4"/>
    <w:rsid w:val="008F156B"/>
    <w:rsid w:val="008F2946"/>
    <w:rsid w:val="008F5DDC"/>
    <w:rsid w:val="00903E5E"/>
    <w:rsid w:val="00905199"/>
    <w:rsid w:val="00905791"/>
    <w:rsid w:val="00915A0C"/>
    <w:rsid w:val="00923A05"/>
    <w:rsid w:val="009246A0"/>
    <w:rsid w:val="00934853"/>
    <w:rsid w:val="009400FA"/>
    <w:rsid w:val="0094119B"/>
    <w:rsid w:val="009433B9"/>
    <w:rsid w:val="00947797"/>
    <w:rsid w:val="00953E37"/>
    <w:rsid w:val="00955194"/>
    <w:rsid w:val="00955CFC"/>
    <w:rsid w:val="00972CCF"/>
    <w:rsid w:val="00976020"/>
    <w:rsid w:val="00976234"/>
    <w:rsid w:val="009867F2"/>
    <w:rsid w:val="00987D62"/>
    <w:rsid w:val="009917A4"/>
    <w:rsid w:val="00992469"/>
    <w:rsid w:val="0099738B"/>
    <w:rsid w:val="009A5BBD"/>
    <w:rsid w:val="009A6124"/>
    <w:rsid w:val="009A7D5B"/>
    <w:rsid w:val="009B0B6F"/>
    <w:rsid w:val="009B7555"/>
    <w:rsid w:val="009B7E6C"/>
    <w:rsid w:val="009C791F"/>
    <w:rsid w:val="009E40A6"/>
    <w:rsid w:val="009E47D5"/>
    <w:rsid w:val="00A03A5B"/>
    <w:rsid w:val="00A07662"/>
    <w:rsid w:val="00A12CBE"/>
    <w:rsid w:val="00A20D46"/>
    <w:rsid w:val="00A2644D"/>
    <w:rsid w:val="00A31257"/>
    <w:rsid w:val="00A33306"/>
    <w:rsid w:val="00A34740"/>
    <w:rsid w:val="00A4246E"/>
    <w:rsid w:val="00A45B6D"/>
    <w:rsid w:val="00A462C9"/>
    <w:rsid w:val="00A469F2"/>
    <w:rsid w:val="00A61B96"/>
    <w:rsid w:val="00A6761B"/>
    <w:rsid w:val="00A756F8"/>
    <w:rsid w:val="00A76406"/>
    <w:rsid w:val="00A76529"/>
    <w:rsid w:val="00A838CD"/>
    <w:rsid w:val="00A844F8"/>
    <w:rsid w:val="00A91ABE"/>
    <w:rsid w:val="00AB24DA"/>
    <w:rsid w:val="00AB2F09"/>
    <w:rsid w:val="00AB601A"/>
    <w:rsid w:val="00AD1602"/>
    <w:rsid w:val="00AD1C42"/>
    <w:rsid w:val="00AE3583"/>
    <w:rsid w:val="00AF22EF"/>
    <w:rsid w:val="00AF23AF"/>
    <w:rsid w:val="00AF5C88"/>
    <w:rsid w:val="00AF6EF0"/>
    <w:rsid w:val="00B11CD9"/>
    <w:rsid w:val="00B257A6"/>
    <w:rsid w:val="00B26305"/>
    <w:rsid w:val="00B37287"/>
    <w:rsid w:val="00B413FD"/>
    <w:rsid w:val="00B43920"/>
    <w:rsid w:val="00B608EC"/>
    <w:rsid w:val="00B650FE"/>
    <w:rsid w:val="00B866AA"/>
    <w:rsid w:val="00B935F4"/>
    <w:rsid w:val="00BA74B2"/>
    <w:rsid w:val="00BD13F9"/>
    <w:rsid w:val="00BD3DBB"/>
    <w:rsid w:val="00BE0E1D"/>
    <w:rsid w:val="00BE1975"/>
    <w:rsid w:val="00BE7695"/>
    <w:rsid w:val="00BF2BB0"/>
    <w:rsid w:val="00BF6054"/>
    <w:rsid w:val="00BF6297"/>
    <w:rsid w:val="00C061E7"/>
    <w:rsid w:val="00C12E84"/>
    <w:rsid w:val="00C1316B"/>
    <w:rsid w:val="00C16CC6"/>
    <w:rsid w:val="00C24045"/>
    <w:rsid w:val="00C42FCF"/>
    <w:rsid w:val="00C60D52"/>
    <w:rsid w:val="00C80CFD"/>
    <w:rsid w:val="00CA788C"/>
    <w:rsid w:val="00CB40DA"/>
    <w:rsid w:val="00CD251F"/>
    <w:rsid w:val="00CD6583"/>
    <w:rsid w:val="00CE0F27"/>
    <w:rsid w:val="00CE32D5"/>
    <w:rsid w:val="00CE4C08"/>
    <w:rsid w:val="00CE57F2"/>
    <w:rsid w:val="00D05C76"/>
    <w:rsid w:val="00D14D2F"/>
    <w:rsid w:val="00D15A3A"/>
    <w:rsid w:val="00D31A6C"/>
    <w:rsid w:val="00D37AC9"/>
    <w:rsid w:val="00D37AE6"/>
    <w:rsid w:val="00D40CEA"/>
    <w:rsid w:val="00D439E2"/>
    <w:rsid w:val="00D6007A"/>
    <w:rsid w:val="00D60BFA"/>
    <w:rsid w:val="00D629BB"/>
    <w:rsid w:val="00D6351E"/>
    <w:rsid w:val="00D85B5D"/>
    <w:rsid w:val="00D866E0"/>
    <w:rsid w:val="00DA42BB"/>
    <w:rsid w:val="00DA4356"/>
    <w:rsid w:val="00DA6B08"/>
    <w:rsid w:val="00DB63D8"/>
    <w:rsid w:val="00DC46F7"/>
    <w:rsid w:val="00DE2D2A"/>
    <w:rsid w:val="00DF1B0D"/>
    <w:rsid w:val="00DF797B"/>
    <w:rsid w:val="00E23746"/>
    <w:rsid w:val="00E24A49"/>
    <w:rsid w:val="00E45839"/>
    <w:rsid w:val="00E52D88"/>
    <w:rsid w:val="00E54AA1"/>
    <w:rsid w:val="00E64AB6"/>
    <w:rsid w:val="00E76859"/>
    <w:rsid w:val="00E83BA6"/>
    <w:rsid w:val="00E859A0"/>
    <w:rsid w:val="00E915D3"/>
    <w:rsid w:val="00E9236F"/>
    <w:rsid w:val="00EA580F"/>
    <w:rsid w:val="00EB3387"/>
    <w:rsid w:val="00EB7EC9"/>
    <w:rsid w:val="00EB7F22"/>
    <w:rsid w:val="00EC3A7B"/>
    <w:rsid w:val="00EC4146"/>
    <w:rsid w:val="00EC6D98"/>
    <w:rsid w:val="00EC73A6"/>
    <w:rsid w:val="00EC759D"/>
    <w:rsid w:val="00ED77A5"/>
    <w:rsid w:val="00EE527A"/>
    <w:rsid w:val="00EF414D"/>
    <w:rsid w:val="00F0010D"/>
    <w:rsid w:val="00F04EAF"/>
    <w:rsid w:val="00F05294"/>
    <w:rsid w:val="00F114F3"/>
    <w:rsid w:val="00F13846"/>
    <w:rsid w:val="00F166CC"/>
    <w:rsid w:val="00F20F8A"/>
    <w:rsid w:val="00F24196"/>
    <w:rsid w:val="00F30C9D"/>
    <w:rsid w:val="00F45C9C"/>
    <w:rsid w:val="00F54644"/>
    <w:rsid w:val="00F62B0B"/>
    <w:rsid w:val="00F6529D"/>
    <w:rsid w:val="00F70BDC"/>
    <w:rsid w:val="00F812DB"/>
    <w:rsid w:val="00F82568"/>
    <w:rsid w:val="00F86C8F"/>
    <w:rsid w:val="00F87427"/>
    <w:rsid w:val="00F87D26"/>
    <w:rsid w:val="00F9635A"/>
    <w:rsid w:val="00FA55B7"/>
    <w:rsid w:val="00FB12B4"/>
    <w:rsid w:val="00FB7525"/>
    <w:rsid w:val="00FB7E8B"/>
    <w:rsid w:val="00FC5033"/>
    <w:rsid w:val="00FC6442"/>
    <w:rsid w:val="00FC6895"/>
    <w:rsid w:val="00FC6DF5"/>
    <w:rsid w:val="00FD1D26"/>
    <w:rsid w:val="00FD7357"/>
    <w:rsid w:val="05E711B9"/>
    <w:rsid w:val="0ABA82DC"/>
    <w:rsid w:val="0C4E3BD9"/>
    <w:rsid w:val="0CB73415"/>
    <w:rsid w:val="234486E9"/>
    <w:rsid w:val="2663EF39"/>
    <w:rsid w:val="333F5747"/>
    <w:rsid w:val="5007D578"/>
    <w:rsid w:val="58788088"/>
    <w:rsid w:val="6A700C1B"/>
    <w:rsid w:val="6A82975B"/>
    <w:rsid w:val="6E8711D4"/>
    <w:rsid w:val="76F304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25E48"/>
  <w15:chartTrackingRefBased/>
  <w15:docId w15:val="{0239A604-6973-43E7-9D13-DDE6EADCD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E47D5"/>
    <w:rPr>
      <w:rFonts w:ascii="Times New Roman" w:eastAsia="Times New Roman" w:hAnsi="Times New Roman"/>
    </w:rPr>
  </w:style>
  <w:style w:type="paragraph" w:styleId="Nadpis1">
    <w:name w:val="heading 1"/>
    <w:basedOn w:val="Normln"/>
    <w:next w:val="Normln"/>
    <w:link w:val="Nadpis1Char"/>
    <w:uiPriority w:val="99"/>
    <w:qFormat/>
    <w:rsid w:val="00A03A5B"/>
    <w:pPr>
      <w:keepNext/>
      <w:numPr>
        <w:numId w:val="2"/>
      </w:numPr>
      <w:spacing w:before="240" w:after="60"/>
      <w:ind w:left="360"/>
      <w:outlineLvl w:val="0"/>
    </w:pPr>
    <w:rPr>
      <w:rFonts w:cs="Arial"/>
      <w:b/>
      <w:bCs/>
      <w:kern w:val="32"/>
      <w:sz w:val="24"/>
      <w:szCs w:val="24"/>
      <w:u w:val="single"/>
    </w:rPr>
  </w:style>
  <w:style w:type="paragraph" w:styleId="Nadpis2">
    <w:name w:val="heading 2"/>
    <w:basedOn w:val="Normln"/>
    <w:next w:val="Normln"/>
    <w:link w:val="Nadpis2Char"/>
    <w:uiPriority w:val="99"/>
    <w:qFormat/>
    <w:rsid w:val="00A03A5B"/>
    <w:pPr>
      <w:keepNext/>
      <w:numPr>
        <w:ilvl w:val="1"/>
        <w:numId w:val="2"/>
      </w:numPr>
      <w:suppressAutoHyphens/>
      <w:spacing w:before="120" w:after="60" w:line="276" w:lineRule="auto"/>
      <w:jc w:val="both"/>
      <w:outlineLvl w:val="1"/>
    </w:pPr>
    <w:rPr>
      <w:rFonts w:eastAsia="SimSun" w:cs="Arial"/>
      <w:bCs/>
      <w:iCs/>
      <w:sz w:val="24"/>
      <w:szCs w:val="28"/>
      <w:lang w:eastAsia="ar-SA"/>
    </w:rPr>
  </w:style>
  <w:style w:type="paragraph" w:styleId="Nadpis4">
    <w:name w:val="heading 4"/>
    <w:basedOn w:val="Normln"/>
    <w:next w:val="Normln"/>
    <w:link w:val="Nadpis4Char"/>
    <w:uiPriority w:val="99"/>
    <w:qFormat/>
    <w:rsid w:val="00A03A5B"/>
    <w:pPr>
      <w:keepNext/>
      <w:numPr>
        <w:ilvl w:val="3"/>
        <w:numId w:val="2"/>
      </w:numPr>
      <w:suppressAutoHyphens/>
      <w:autoSpaceDE w:val="0"/>
      <w:outlineLvl w:val="3"/>
    </w:pPr>
    <w:rPr>
      <w:bCs/>
      <w:color w:val="010000"/>
      <w:sz w:val="24"/>
      <w:szCs w:val="22"/>
      <w:lang w:eastAsia="ar-SA"/>
    </w:rPr>
  </w:style>
  <w:style w:type="paragraph" w:styleId="Nadpis6">
    <w:name w:val="heading 6"/>
    <w:basedOn w:val="Normln"/>
    <w:next w:val="Normln"/>
    <w:link w:val="Nadpis6Char"/>
    <w:uiPriority w:val="99"/>
    <w:qFormat/>
    <w:rsid w:val="00A03A5B"/>
    <w:pPr>
      <w:keepNext/>
      <w:numPr>
        <w:ilvl w:val="5"/>
        <w:numId w:val="2"/>
      </w:numPr>
      <w:pBdr>
        <w:top w:val="single" w:sz="4" w:space="1" w:color="000000" w:shadow="1"/>
        <w:left w:val="single" w:sz="4" w:space="1" w:color="000000" w:shadow="1"/>
        <w:bottom w:val="single" w:sz="4" w:space="1" w:color="000000" w:shadow="1"/>
        <w:right w:val="single" w:sz="4" w:space="1" w:color="000000" w:shadow="1"/>
      </w:pBdr>
      <w:suppressAutoHyphens/>
      <w:spacing w:line="240" w:lineRule="atLeast"/>
      <w:outlineLvl w:val="5"/>
    </w:pPr>
    <w:rPr>
      <w:b/>
      <w:bCs/>
      <w:sz w:val="24"/>
      <w:szCs w:val="24"/>
      <w:lang w:val="en-US" w:eastAsia="ar-SA"/>
    </w:rPr>
  </w:style>
  <w:style w:type="paragraph" w:styleId="Nadpis7">
    <w:name w:val="heading 7"/>
    <w:basedOn w:val="Normln"/>
    <w:next w:val="Normln"/>
    <w:link w:val="Nadpis7Char"/>
    <w:uiPriority w:val="99"/>
    <w:qFormat/>
    <w:rsid w:val="00A03A5B"/>
    <w:pPr>
      <w:keepNext/>
      <w:numPr>
        <w:ilvl w:val="6"/>
        <w:numId w:val="2"/>
      </w:numPr>
      <w:suppressAutoHyphens/>
      <w:jc w:val="both"/>
      <w:outlineLvl w:val="6"/>
    </w:pPr>
    <w:rPr>
      <w:b/>
      <w:bCs/>
      <w:sz w:val="24"/>
      <w:szCs w:val="24"/>
      <w:lang w:eastAsia="ar-SA"/>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aliases w:val="subtitle2,Základní tZákladní text,Body Text,b"/>
    <w:basedOn w:val="Normln"/>
    <w:link w:val="ZkladntextChar"/>
    <w:rsid w:val="009E47D5"/>
    <w:pPr>
      <w:jc w:val="both"/>
    </w:pPr>
    <w:rPr>
      <w:sz w:val="24"/>
    </w:rPr>
  </w:style>
  <w:style w:type="character" w:customStyle="1" w:styleId="ZkladntextChar">
    <w:name w:val="Základní text Char"/>
    <w:aliases w:val="subtitle2 Char,Základní tZákladní text Char,Body Text Char,b Char"/>
    <w:link w:val="Zkladntext"/>
    <w:rsid w:val="009E47D5"/>
    <w:rPr>
      <w:rFonts w:ascii="Times New Roman" w:eastAsia="Times New Roman" w:hAnsi="Times New Roman" w:cs="Times New Roman"/>
      <w:sz w:val="24"/>
      <w:szCs w:val="20"/>
      <w:lang w:eastAsia="cs-CZ"/>
    </w:rPr>
  </w:style>
  <w:style w:type="paragraph" w:styleId="Odstavecseseznamem">
    <w:name w:val="List Paragraph"/>
    <w:basedOn w:val="Normln"/>
    <w:link w:val="OdstavecseseznamemChar"/>
    <w:uiPriority w:val="34"/>
    <w:qFormat/>
    <w:rsid w:val="009E47D5"/>
    <w:pPr>
      <w:ind w:left="720"/>
      <w:contextualSpacing/>
    </w:pPr>
  </w:style>
  <w:style w:type="character" w:customStyle="1" w:styleId="OdstavecseseznamemChar">
    <w:name w:val="Odstavec se seznamem Char"/>
    <w:link w:val="Odstavecseseznamem"/>
    <w:uiPriority w:val="34"/>
    <w:rsid w:val="009E47D5"/>
    <w:rPr>
      <w:rFonts w:ascii="Times New Roman" w:eastAsia="Times New Roman" w:hAnsi="Times New Roman" w:cs="Times New Roman"/>
      <w:sz w:val="20"/>
      <w:szCs w:val="20"/>
      <w:lang w:eastAsia="cs-CZ"/>
    </w:rPr>
  </w:style>
  <w:style w:type="paragraph" w:styleId="Bezmezer">
    <w:name w:val="No Spacing"/>
    <w:uiPriority w:val="1"/>
    <w:qFormat/>
    <w:rsid w:val="00BD13F9"/>
    <w:pPr>
      <w:suppressAutoHyphens/>
    </w:pPr>
    <w:rPr>
      <w:rFonts w:ascii="Times New Roman" w:eastAsia="Times New Roman" w:hAnsi="Times New Roman"/>
      <w:sz w:val="24"/>
      <w:szCs w:val="24"/>
      <w:lang w:eastAsia="ar-SA"/>
    </w:rPr>
  </w:style>
  <w:style w:type="character" w:styleId="Odkaznakoment">
    <w:name w:val="annotation reference"/>
    <w:unhideWhenUsed/>
    <w:rsid w:val="00934853"/>
    <w:rPr>
      <w:sz w:val="16"/>
      <w:szCs w:val="16"/>
    </w:rPr>
  </w:style>
  <w:style w:type="paragraph" w:styleId="Textkomente">
    <w:name w:val="annotation text"/>
    <w:basedOn w:val="Normln"/>
    <w:link w:val="TextkomenteChar"/>
    <w:uiPriority w:val="99"/>
    <w:unhideWhenUsed/>
    <w:rsid w:val="00934853"/>
  </w:style>
  <w:style w:type="character" w:customStyle="1" w:styleId="TextkomenteChar">
    <w:name w:val="Text komentáře Char"/>
    <w:link w:val="Textkomente"/>
    <w:uiPriority w:val="99"/>
    <w:rsid w:val="0093485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34853"/>
    <w:rPr>
      <w:b/>
      <w:bCs/>
    </w:rPr>
  </w:style>
  <w:style w:type="character" w:customStyle="1" w:styleId="PedmtkomenteChar">
    <w:name w:val="Předmět komentáře Char"/>
    <w:link w:val="Pedmtkomente"/>
    <w:uiPriority w:val="99"/>
    <w:semiHidden/>
    <w:rsid w:val="00934853"/>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934853"/>
    <w:rPr>
      <w:rFonts w:ascii="Tahoma" w:hAnsi="Tahoma" w:cs="Tahoma"/>
      <w:sz w:val="16"/>
      <w:szCs w:val="16"/>
    </w:rPr>
  </w:style>
  <w:style w:type="character" w:customStyle="1" w:styleId="TextbublinyChar">
    <w:name w:val="Text bubliny Char"/>
    <w:link w:val="Textbubliny"/>
    <w:uiPriority w:val="99"/>
    <w:semiHidden/>
    <w:rsid w:val="00934853"/>
    <w:rPr>
      <w:rFonts w:ascii="Tahoma" w:eastAsia="Times New Roman" w:hAnsi="Tahoma" w:cs="Tahoma"/>
      <w:sz w:val="16"/>
      <w:szCs w:val="16"/>
      <w:lang w:eastAsia="cs-CZ"/>
    </w:rPr>
  </w:style>
  <w:style w:type="character" w:customStyle="1" w:styleId="Nadpis1Char">
    <w:name w:val="Nadpis 1 Char"/>
    <w:link w:val="Nadpis1"/>
    <w:uiPriority w:val="99"/>
    <w:rsid w:val="00A03A5B"/>
    <w:rPr>
      <w:rFonts w:ascii="Times New Roman" w:eastAsia="Times New Roman" w:hAnsi="Times New Roman" w:cs="Arial"/>
      <w:b/>
      <w:bCs/>
      <w:kern w:val="32"/>
      <w:sz w:val="24"/>
      <w:szCs w:val="24"/>
      <w:u w:val="single"/>
      <w:lang w:eastAsia="cs-CZ"/>
    </w:rPr>
  </w:style>
  <w:style w:type="character" w:customStyle="1" w:styleId="Nadpis2Char">
    <w:name w:val="Nadpis 2 Char"/>
    <w:link w:val="Nadpis2"/>
    <w:uiPriority w:val="99"/>
    <w:rsid w:val="00A03A5B"/>
    <w:rPr>
      <w:rFonts w:ascii="Times New Roman" w:eastAsia="SimSun" w:hAnsi="Times New Roman" w:cs="Arial"/>
      <w:bCs/>
      <w:iCs/>
      <w:sz w:val="24"/>
      <w:szCs w:val="28"/>
      <w:lang w:eastAsia="ar-SA"/>
    </w:rPr>
  </w:style>
  <w:style w:type="character" w:customStyle="1" w:styleId="Nadpis4Char">
    <w:name w:val="Nadpis 4 Char"/>
    <w:link w:val="Nadpis4"/>
    <w:uiPriority w:val="99"/>
    <w:rsid w:val="00A03A5B"/>
    <w:rPr>
      <w:rFonts w:ascii="Times New Roman" w:eastAsia="Times New Roman" w:hAnsi="Times New Roman" w:cs="Times New Roman"/>
      <w:bCs/>
      <w:color w:val="010000"/>
      <w:sz w:val="24"/>
      <w:lang w:eastAsia="ar-SA"/>
    </w:rPr>
  </w:style>
  <w:style w:type="character" w:customStyle="1" w:styleId="Nadpis6Char">
    <w:name w:val="Nadpis 6 Char"/>
    <w:link w:val="Nadpis6"/>
    <w:uiPriority w:val="99"/>
    <w:rsid w:val="00A03A5B"/>
    <w:rPr>
      <w:rFonts w:ascii="Times New Roman" w:eastAsia="Times New Roman" w:hAnsi="Times New Roman" w:cs="Times New Roman"/>
      <w:b/>
      <w:bCs/>
      <w:sz w:val="24"/>
      <w:szCs w:val="24"/>
      <w:lang w:val="en-US" w:eastAsia="ar-SA"/>
    </w:rPr>
  </w:style>
  <w:style w:type="character" w:customStyle="1" w:styleId="Nadpis7Char">
    <w:name w:val="Nadpis 7 Char"/>
    <w:link w:val="Nadpis7"/>
    <w:uiPriority w:val="99"/>
    <w:rsid w:val="00A03A5B"/>
    <w:rPr>
      <w:rFonts w:ascii="Times New Roman" w:eastAsia="Times New Roman" w:hAnsi="Times New Roman" w:cs="Times New Roman"/>
      <w:b/>
      <w:bCs/>
      <w:sz w:val="24"/>
      <w:szCs w:val="24"/>
      <w:lang w:eastAsia="ar-SA"/>
    </w:rPr>
  </w:style>
  <w:style w:type="paragraph" w:customStyle="1" w:styleId="Styl1">
    <w:name w:val="Styl1"/>
    <w:basedOn w:val="Nadpis2"/>
    <w:link w:val="Styl1Char"/>
    <w:qFormat/>
    <w:rsid w:val="00A03A5B"/>
    <w:pPr>
      <w:numPr>
        <w:ilvl w:val="2"/>
      </w:numPr>
    </w:pPr>
  </w:style>
  <w:style w:type="character" w:customStyle="1" w:styleId="Styl1Char">
    <w:name w:val="Styl1 Char"/>
    <w:link w:val="Styl1"/>
    <w:rsid w:val="00A03A5B"/>
    <w:rPr>
      <w:rFonts w:ascii="Times New Roman" w:eastAsia="SimSun" w:hAnsi="Times New Roman" w:cs="Arial"/>
      <w:bCs/>
      <w:iCs/>
      <w:sz w:val="24"/>
      <w:szCs w:val="28"/>
      <w:lang w:eastAsia="ar-SA"/>
    </w:rPr>
  </w:style>
  <w:style w:type="paragraph" w:styleId="Revize">
    <w:name w:val="Revision"/>
    <w:hidden/>
    <w:uiPriority w:val="99"/>
    <w:semiHidden/>
    <w:rsid w:val="00186760"/>
    <w:rPr>
      <w:rFonts w:ascii="Times New Roman" w:eastAsia="Times New Roman" w:hAnsi="Times New Roman"/>
    </w:rPr>
  </w:style>
  <w:style w:type="paragraph" w:styleId="Zhlav">
    <w:name w:val="header"/>
    <w:basedOn w:val="Normln"/>
    <w:link w:val="ZhlavChar"/>
    <w:uiPriority w:val="99"/>
    <w:unhideWhenUsed/>
    <w:rsid w:val="00A31257"/>
    <w:pPr>
      <w:tabs>
        <w:tab w:val="center" w:pos="4536"/>
        <w:tab w:val="right" w:pos="9072"/>
      </w:tabs>
    </w:pPr>
  </w:style>
  <w:style w:type="character" w:customStyle="1" w:styleId="ZhlavChar">
    <w:name w:val="Záhlaví Char"/>
    <w:link w:val="Zhlav"/>
    <w:uiPriority w:val="99"/>
    <w:rsid w:val="00A31257"/>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A31257"/>
    <w:pPr>
      <w:tabs>
        <w:tab w:val="center" w:pos="4536"/>
        <w:tab w:val="right" w:pos="9072"/>
      </w:tabs>
    </w:pPr>
  </w:style>
  <w:style w:type="character" w:customStyle="1" w:styleId="ZpatChar">
    <w:name w:val="Zápatí Char"/>
    <w:link w:val="Zpat"/>
    <w:uiPriority w:val="99"/>
    <w:rsid w:val="00A31257"/>
    <w:rPr>
      <w:rFonts w:ascii="Times New Roman" w:eastAsia="Times New Roman" w:hAnsi="Times New Roman" w:cs="Times New Roman"/>
      <w:sz w:val="20"/>
      <w:szCs w:val="20"/>
      <w:lang w:eastAsia="cs-CZ"/>
    </w:rPr>
  </w:style>
  <w:style w:type="character" w:customStyle="1" w:styleId="TextkomenteChar1">
    <w:name w:val="Text komentáře Char1"/>
    <w:basedOn w:val="Standardnpsmoodstavce"/>
    <w:uiPriority w:val="99"/>
    <w:locked/>
    <w:rsid w:val="00AE3583"/>
  </w:style>
  <w:style w:type="character" w:styleId="Hypertextovodkaz">
    <w:name w:val="Hyperlink"/>
    <w:basedOn w:val="Standardnpsmoodstavce"/>
    <w:uiPriority w:val="99"/>
    <w:unhideWhenUsed/>
    <w:rsid w:val="00F62B0B"/>
    <w:rPr>
      <w:color w:val="0563C1" w:themeColor="hyperlink"/>
      <w:u w:val="single"/>
    </w:rPr>
  </w:style>
  <w:style w:type="character" w:styleId="Nevyeenzmnka">
    <w:name w:val="Unresolved Mention"/>
    <w:basedOn w:val="Standardnpsmoodstavce"/>
    <w:uiPriority w:val="99"/>
    <w:semiHidden/>
    <w:unhideWhenUsed/>
    <w:rsid w:val="00F62B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980580">
      <w:bodyDiv w:val="1"/>
      <w:marLeft w:val="0"/>
      <w:marRight w:val="0"/>
      <w:marTop w:val="0"/>
      <w:marBottom w:val="0"/>
      <w:divBdr>
        <w:top w:val="none" w:sz="0" w:space="0" w:color="auto"/>
        <w:left w:val="none" w:sz="0" w:space="0" w:color="auto"/>
        <w:bottom w:val="none" w:sz="0" w:space="0" w:color="auto"/>
        <w:right w:val="none" w:sz="0" w:space="0" w:color="auto"/>
      </w:divBdr>
      <w:divsChild>
        <w:div w:id="1173685650">
          <w:marLeft w:val="0"/>
          <w:marRight w:val="0"/>
          <w:marTop w:val="0"/>
          <w:marBottom w:val="0"/>
          <w:divBdr>
            <w:top w:val="none" w:sz="0" w:space="0" w:color="auto"/>
            <w:left w:val="none" w:sz="0" w:space="0" w:color="auto"/>
            <w:bottom w:val="none" w:sz="0" w:space="0" w:color="auto"/>
            <w:right w:val="none" w:sz="0" w:space="0" w:color="auto"/>
          </w:divBdr>
          <w:divsChild>
            <w:div w:id="921568642">
              <w:marLeft w:val="0"/>
              <w:marRight w:val="0"/>
              <w:marTop w:val="0"/>
              <w:marBottom w:val="0"/>
              <w:divBdr>
                <w:top w:val="none" w:sz="0" w:space="0" w:color="auto"/>
                <w:left w:val="none" w:sz="0" w:space="0" w:color="auto"/>
                <w:bottom w:val="none" w:sz="0" w:space="0" w:color="auto"/>
                <w:right w:val="none" w:sz="0" w:space="0" w:color="auto"/>
              </w:divBdr>
              <w:divsChild>
                <w:div w:id="2090688897">
                  <w:marLeft w:val="0"/>
                  <w:marRight w:val="0"/>
                  <w:marTop w:val="0"/>
                  <w:marBottom w:val="0"/>
                  <w:divBdr>
                    <w:top w:val="none" w:sz="0" w:space="0" w:color="auto"/>
                    <w:left w:val="none" w:sz="0" w:space="0" w:color="auto"/>
                    <w:bottom w:val="none" w:sz="0" w:space="0" w:color="auto"/>
                    <w:right w:val="none" w:sz="0" w:space="0" w:color="auto"/>
                  </w:divBdr>
                  <w:divsChild>
                    <w:div w:id="806433617">
                      <w:marLeft w:val="0"/>
                      <w:marRight w:val="0"/>
                      <w:marTop w:val="0"/>
                      <w:marBottom w:val="0"/>
                      <w:divBdr>
                        <w:top w:val="none" w:sz="0" w:space="0" w:color="auto"/>
                        <w:left w:val="none" w:sz="0" w:space="0" w:color="auto"/>
                        <w:bottom w:val="none" w:sz="0" w:space="0" w:color="auto"/>
                        <w:right w:val="none" w:sz="0" w:space="0" w:color="auto"/>
                      </w:divBdr>
                    </w:div>
                    <w:div w:id="861699197">
                      <w:marLeft w:val="0"/>
                      <w:marRight w:val="0"/>
                      <w:marTop w:val="0"/>
                      <w:marBottom w:val="150"/>
                      <w:divBdr>
                        <w:top w:val="none" w:sz="0" w:space="0" w:color="auto"/>
                        <w:left w:val="none" w:sz="0" w:space="0" w:color="auto"/>
                        <w:bottom w:val="none" w:sz="0" w:space="0" w:color="auto"/>
                        <w:right w:val="none" w:sz="0" w:space="0" w:color="auto"/>
                      </w:divBdr>
                      <w:divsChild>
                        <w:div w:id="620233216">
                          <w:marLeft w:val="0"/>
                          <w:marRight w:val="0"/>
                          <w:marTop w:val="0"/>
                          <w:marBottom w:val="0"/>
                          <w:divBdr>
                            <w:top w:val="none" w:sz="0" w:space="0" w:color="auto"/>
                            <w:left w:val="none" w:sz="0" w:space="0" w:color="auto"/>
                            <w:bottom w:val="none" w:sz="0" w:space="0" w:color="auto"/>
                            <w:right w:val="none" w:sz="0" w:space="0" w:color="auto"/>
                          </w:divBdr>
                          <w:divsChild>
                            <w:div w:id="644238993">
                              <w:marLeft w:val="0"/>
                              <w:marRight w:val="0"/>
                              <w:marTop w:val="0"/>
                              <w:marBottom w:val="0"/>
                              <w:divBdr>
                                <w:top w:val="none" w:sz="0" w:space="0" w:color="auto"/>
                                <w:left w:val="none" w:sz="0" w:space="0" w:color="auto"/>
                                <w:bottom w:val="none" w:sz="0" w:space="0" w:color="auto"/>
                                <w:right w:val="none" w:sz="0" w:space="0" w:color="auto"/>
                              </w:divBdr>
                              <w:divsChild>
                                <w:div w:id="386413933">
                                  <w:marLeft w:val="0"/>
                                  <w:marRight w:val="0"/>
                                  <w:marTop w:val="0"/>
                                  <w:marBottom w:val="0"/>
                                  <w:divBdr>
                                    <w:top w:val="none" w:sz="0" w:space="0" w:color="auto"/>
                                    <w:left w:val="none" w:sz="0" w:space="0" w:color="auto"/>
                                    <w:bottom w:val="none" w:sz="0" w:space="0" w:color="auto"/>
                                    <w:right w:val="none" w:sz="0" w:space="0" w:color="auto"/>
                                  </w:divBdr>
                                </w:div>
                              </w:divsChild>
                            </w:div>
                            <w:div w:id="1256474683">
                              <w:marLeft w:val="0"/>
                              <w:marRight w:val="0"/>
                              <w:marTop w:val="0"/>
                              <w:marBottom w:val="0"/>
                              <w:divBdr>
                                <w:top w:val="none" w:sz="0" w:space="0" w:color="auto"/>
                                <w:left w:val="none" w:sz="0" w:space="0" w:color="auto"/>
                                <w:bottom w:val="none" w:sz="0" w:space="0" w:color="auto"/>
                                <w:right w:val="none" w:sz="0" w:space="0" w:color="auto"/>
                              </w:divBdr>
                              <w:divsChild>
                                <w:div w:id="128604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881903">
          <w:marLeft w:val="0"/>
          <w:marRight w:val="0"/>
          <w:marTop w:val="0"/>
          <w:marBottom w:val="0"/>
          <w:divBdr>
            <w:top w:val="none" w:sz="0" w:space="0" w:color="auto"/>
            <w:left w:val="none" w:sz="0" w:space="0" w:color="auto"/>
            <w:bottom w:val="none" w:sz="0" w:space="0" w:color="auto"/>
            <w:right w:val="none" w:sz="0" w:space="0" w:color="auto"/>
          </w:divBdr>
          <w:divsChild>
            <w:div w:id="1869295758">
              <w:marLeft w:val="0"/>
              <w:marRight w:val="0"/>
              <w:marTop w:val="0"/>
              <w:marBottom w:val="0"/>
              <w:divBdr>
                <w:top w:val="none" w:sz="0" w:space="0" w:color="auto"/>
                <w:left w:val="none" w:sz="0" w:space="0" w:color="auto"/>
                <w:bottom w:val="none" w:sz="0" w:space="0" w:color="auto"/>
                <w:right w:val="none" w:sz="0" w:space="0" w:color="auto"/>
              </w:divBdr>
              <w:divsChild>
                <w:div w:id="722867491">
                  <w:marLeft w:val="0"/>
                  <w:marRight w:val="0"/>
                  <w:marTop w:val="0"/>
                  <w:marBottom w:val="0"/>
                  <w:divBdr>
                    <w:top w:val="none" w:sz="0" w:space="0" w:color="auto"/>
                    <w:left w:val="none" w:sz="0" w:space="0" w:color="auto"/>
                    <w:bottom w:val="none" w:sz="0" w:space="0" w:color="auto"/>
                    <w:right w:val="none" w:sz="0" w:space="0" w:color="auto"/>
                  </w:divBdr>
                  <w:divsChild>
                    <w:div w:id="1596286874">
                      <w:marLeft w:val="0"/>
                      <w:marRight w:val="0"/>
                      <w:marTop w:val="0"/>
                      <w:marBottom w:val="150"/>
                      <w:divBdr>
                        <w:top w:val="none" w:sz="0" w:space="0" w:color="auto"/>
                        <w:left w:val="none" w:sz="0" w:space="0" w:color="auto"/>
                        <w:bottom w:val="none" w:sz="0" w:space="0" w:color="auto"/>
                        <w:right w:val="none" w:sz="0" w:space="0" w:color="auto"/>
                      </w:divBdr>
                      <w:divsChild>
                        <w:div w:id="959843124">
                          <w:marLeft w:val="0"/>
                          <w:marRight w:val="0"/>
                          <w:marTop w:val="0"/>
                          <w:marBottom w:val="0"/>
                          <w:divBdr>
                            <w:top w:val="none" w:sz="0" w:space="0" w:color="auto"/>
                            <w:left w:val="none" w:sz="0" w:space="0" w:color="auto"/>
                            <w:bottom w:val="none" w:sz="0" w:space="0" w:color="auto"/>
                            <w:right w:val="none" w:sz="0" w:space="0" w:color="auto"/>
                          </w:divBdr>
                          <w:divsChild>
                            <w:div w:id="681318336">
                              <w:marLeft w:val="0"/>
                              <w:marRight w:val="0"/>
                              <w:marTop w:val="0"/>
                              <w:marBottom w:val="0"/>
                              <w:divBdr>
                                <w:top w:val="none" w:sz="0" w:space="0" w:color="auto"/>
                                <w:left w:val="none" w:sz="0" w:space="0" w:color="auto"/>
                                <w:bottom w:val="none" w:sz="0" w:space="0" w:color="auto"/>
                                <w:right w:val="none" w:sz="0" w:space="0" w:color="auto"/>
                              </w:divBdr>
                              <w:divsChild>
                                <w:div w:id="1356466564">
                                  <w:marLeft w:val="0"/>
                                  <w:marRight w:val="0"/>
                                  <w:marTop w:val="0"/>
                                  <w:marBottom w:val="0"/>
                                  <w:divBdr>
                                    <w:top w:val="none" w:sz="0" w:space="0" w:color="auto"/>
                                    <w:left w:val="none" w:sz="0" w:space="0" w:color="auto"/>
                                    <w:bottom w:val="none" w:sz="0" w:space="0" w:color="auto"/>
                                    <w:right w:val="none" w:sz="0" w:space="0" w:color="auto"/>
                                  </w:divBdr>
                                  <w:divsChild>
                                    <w:div w:id="130307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36706">
                              <w:marLeft w:val="0"/>
                              <w:marRight w:val="0"/>
                              <w:marTop w:val="0"/>
                              <w:marBottom w:val="0"/>
                              <w:divBdr>
                                <w:top w:val="none" w:sz="0" w:space="0" w:color="auto"/>
                                <w:left w:val="none" w:sz="0" w:space="0" w:color="auto"/>
                                <w:bottom w:val="none" w:sz="0" w:space="0" w:color="auto"/>
                                <w:right w:val="none" w:sz="0" w:space="0" w:color="auto"/>
                              </w:divBdr>
                              <w:divsChild>
                                <w:div w:id="14693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61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72094">
          <w:marLeft w:val="0"/>
          <w:marRight w:val="0"/>
          <w:marTop w:val="0"/>
          <w:marBottom w:val="0"/>
          <w:divBdr>
            <w:top w:val="none" w:sz="0" w:space="0" w:color="auto"/>
            <w:left w:val="none" w:sz="0" w:space="0" w:color="auto"/>
            <w:bottom w:val="none" w:sz="0" w:space="0" w:color="auto"/>
            <w:right w:val="none" w:sz="0" w:space="0" w:color="auto"/>
          </w:divBdr>
          <w:divsChild>
            <w:div w:id="260839375">
              <w:marLeft w:val="0"/>
              <w:marRight w:val="0"/>
              <w:marTop w:val="0"/>
              <w:marBottom w:val="0"/>
              <w:divBdr>
                <w:top w:val="none" w:sz="0" w:space="0" w:color="auto"/>
                <w:left w:val="none" w:sz="0" w:space="0" w:color="auto"/>
                <w:bottom w:val="none" w:sz="0" w:space="0" w:color="auto"/>
                <w:right w:val="none" w:sz="0" w:space="0" w:color="auto"/>
              </w:divBdr>
              <w:divsChild>
                <w:div w:id="1738747998">
                  <w:marLeft w:val="0"/>
                  <w:marRight w:val="0"/>
                  <w:marTop w:val="0"/>
                  <w:marBottom w:val="0"/>
                  <w:divBdr>
                    <w:top w:val="none" w:sz="0" w:space="0" w:color="auto"/>
                    <w:left w:val="none" w:sz="0" w:space="0" w:color="auto"/>
                    <w:bottom w:val="none" w:sz="0" w:space="0" w:color="auto"/>
                    <w:right w:val="none" w:sz="0" w:space="0" w:color="auto"/>
                  </w:divBdr>
                  <w:divsChild>
                    <w:div w:id="350032957">
                      <w:marLeft w:val="0"/>
                      <w:marRight w:val="0"/>
                      <w:marTop w:val="0"/>
                      <w:marBottom w:val="150"/>
                      <w:divBdr>
                        <w:top w:val="none" w:sz="0" w:space="0" w:color="auto"/>
                        <w:left w:val="none" w:sz="0" w:space="0" w:color="auto"/>
                        <w:bottom w:val="none" w:sz="0" w:space="0" w:color="auto"/>
                        <w:right w:val="none" w:sz="0" w:space="0" w:color="auto"/>
                      </w:divBdr>
                      <w:divsChild>
                        <w:div w:id="874928028">
                          <w:marLeft w:val="0"/>
                          <w:marRight w:val="0"/>
                          <w:marTop w:val="0"/>
                          <w:marBottom w:val="0"/>
                          <w:divBdr>
                            <w:top w:val="none" w:sz="0" w:space="0" w:color="auto"/>
                            <w:left w:val="none" w:sz="0" w:space="0" w:color="auto"/>
                            <w:bottom w:val="none" w:sz="0" w:space="0" w:color="auto"/>
                            <w:right w:val="none" w:sz="0" w:space="0" w:color="auto"/>
                          </w:divBdr>
                          <w:divsChild>
                            <w:div w:id="1379279429">
                              <w:marLeft w:val="0"/>
                              <w:marRight w:val="0"/>
                              <w:marTop w:val="0"/>
                              <w:marBottom w:val="0"/>
                              <w:divBdr>
                                <w:top w:val="none" w:sz="0" w:space="0" w:color="auto"/>
                                <w:left w:val="none" w:sz="0" w:space="0" w:color="auto"/>
                                <w:bottom w:val="none" w:sz="0" w:space="0" w:color="auto"/>
                                <w:right w:val="none" w:sz="0" w:space="0" w:color="auto"/>
                              </w:divBdr>
                              <w:divsChild>
                                <w:div w:id="130569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fdi.cz/pravidla-metodiky-a-ceniky/metodik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sfdi.cz/pravidla-metodiky-a-ceniky/metodiky/" TargetMode="External"/><Relationship Id="rId4" Type="http://schemas.openxmlformats.org/officeDocument/2006/relationships/settings" Target="settings.xml"/><Relationship Id="rId9" Type="http://schemas.openxmlformats.org/officeDocument/2006/relationships/hyperlink" Target="https://www.sfdi.cz/pravidla-metodiky-a-ceniky/metodiky/"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5C906-949B-4FA3-A4B8-99234FA88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1527</Words>
  <Characters>9016</Characters>
  <Application>Microsoft Office Word</Application>
  <DocSecurity>0</DocSecurity>
  <Lines>75</Lines>
  <Paragraphs>21</Paragraphs>
  <ScaleCrop>false</ScaleCrop>
  <HeadingPairs>
    <vt:vector size="2" baseType="variant">
      <vt:variant>
        <vt:lpstr>Název</vt:lpstr>
      </vt:variant>
      <vt:variant>
        <vt:i4>1</vt:i4>
      </vt:variant>
    </vt:vector>
  </HeadingPairs>
  <TitlesOfParts>
    <vt:vector size="1" baseType="lpstr">
      <vt:lpstr/>
    </vt:vector>
  </TitlesOfParts>
  <Company>Metrostav a.s.</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Klee</dc:creator>
  <cp:keywords/>
  <cp:lastModifiedBy>Tomáš Michálek</cp:lastModifiedBy>
  <cp:revision>9</cp:revision>
  <cp:lastPrinted>2018-06-25T09:47:00Z</cp:lastPrinted>
  <dcterms:created xsi:type="dcterms:W3CDTF">2026-09-18T12:47:00Z</dcterms:created>
  <dcterms:modified xsi:type="dcterms:W3CDTF">2026-09-22T08:59:00Z</dcterms:modified>
</cp:coreProperties>
</file>