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481A" w14:textId="77777777" w:rsidR="005A0863" w:rsidRPr="00273E45" w:rsidRDefault="00273E45">
      <w:pPr>
        <w:spacing w:after="18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Príloha č. 2 – Technická špecifikácia s určením cien</w:t>
      </w:r>
    </w:p>
    <w:p w14:paraId="72BFE76E" w14:textId="77777777" w:rsidR="005A0863" w:rsidRPr="00273E45" w:rsidRDefault="00273E45">
      <w:pPr>
        <w:spacing w:after="4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Názov zákazky: Zabezpečenie kontinuity, správy a rozvoja systému pre oblasť kyberbezpečnosti</w:t>
      </w:r>
    </w:p>
    <w:p w14:paraId="471E6CEF" w14:textId="05231A96" w:rsidR="005A0863" w:rsidRPr="00273E45" w:rsidRDefault="00273E45">
      <w:pPr>
        <w:spacing w:after="16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Evidenčné číslo: </w:t>
      </w:r>
      <w:r>
        <w:rPr>
          <w:rFonts w:ascii="Garamond" w:hAnsi="Garamond"/>
          <w:szCs w:val="20"/>
        </w:rPr>
        <w:t>CP 43/2026</w:t>
      </w:r>
    </w:p>
    <w:p w14:paraId="7545DDF8" w14:textId="77777777" w:rsidR="005A0863" w:rsidRPr="00273E45" w:rsidRDefault="00273E45">
      <w:pPr>
        <w:spacing w:before="180" w:after="140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A. TECHNICKÝ OPIS A POŽIADAVKY ZADÁVATEĽA</w:t>
      </w:r>
    </w:p>
    <w:p w14:paraId="1461686F" w14:textId="77777777" w:rsidR="00273E45" w:rsidRPr="00273E45" w:rsidRDefault="00273E45" w:rsidP="005354B7">
      <w:pPr>
        <w:spacing w:before="40" w:after="16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szCs w:val="20"/>
        </w:rPr>
        <w:t xml:space="preserve">Opis predmetu zákazky: </w:t>
      </w:r>
      <w:r w:rsidRPr="00273E45">
        <w:rPr>
          <w:rFonts w:ascii="Garamond" w:hAnsi="Garamond"/>
          <w:b/>
          <w:bCs/>
          <w:szCs w:val="20"/>
        </w:rPr>
        <w:t>Zabezpečenie kontinuity, správy a rozvoja systému pre oblasť kyberbezpečnosti</w:t>
      </w:r>
    </w:p>
    <w:p w14:paraId="77F02F2E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Úvod a legislatívny rámec</w:t>
      </w:r>
    </w:p>
    <w:p w14:paraId="544EF524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Predmetom zákazky je zabezpečenie kontinuity prevádzky, technickej podpory a nevyhnutného rozvoja systémov pre riadenie kybernetických bezpečnostných incidentov a správu zraniteľností v prostredí Dopravného podniku Bratislava (ďalej len „Objednávateľ“).</w:t>
      </w:r>
    </w:p>
    <w:p w14:paraId="741F429D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S ohľadom na zákon č. 69/2018 Z. z. o kybernetickej bezpečnosti v znení neskorších predpisov a vyhlášku NBÚ č. 227/2025 Z. z., ktorou sa ustanovujú podrobnosti o obsahu bezpečnostných opatrení a štruktúre bezpečnostnej dokumentácie, je Objednávateľ povinný kontinuálne zvyšovať úroveň ochrany svojich sietí a informačných systémov. Vzhľadom na narastajúcu sofistikovanosť kybernetických hrozieb zameraných na kritickú infraštruktúru a verejnú dopravu je nevyhnutné realizovať rozšírenie existujúceho systému o pokročilé prvky Attack Surface Management (ASM). Tento rozvoj je priamou reakciou na požiadavky legislatívy v oblasti detekcie, monitorovania a proaktívnej identifikácie zraniteľností, čím sa zabezpečí plný súlad s aktuálnymi bezpečnostnými štandardmi pre prevádzkovateľov základných služieb.</w:t>
      </w:r>
    </w:p>
    <w:p w14:paraId="6E4B6762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Rozsah plnenia (Licenčné obdobie)</w:t>
      </w:r>
    </w:p>
    <w:p w14:paraId="5DCA1F99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Predmet zákazky pozostáva z nasledovných častí, pričom doba trvania licenčného predplatného je stanovená na 24 mesiacov:</w:t>
      </w:r>
    </w:p>
    <w:p w14:paraId="2E2B1A4F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1. Obnova licencií Rapid7 Insight IDR Ultimate: Licenčné predplatné pre minimálne 600 aktív, vrátane komplexnej technickej podpory a aktualizácií.</w:t>
      </w:r>
    </w:p>
    <w:p w14:paraId="469D077D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2. Obnova licencií Rapid7 Insight VM: Licenčné predplatné pre minimálne 1000 aktív s podporou automatizovaného skenovania zraniteľností, vrátane komplexnej technickej podpory a aktualizácií.</w:t>
      </w:r>
    </w:p>
    <w:p w14:paraId="1135287F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3. Implementácia a technologický rozvoj: Rozšírenie existujúceho bezpečnostného ekosystému o modul pre komplexný manažment útočnej plochy pre minimálne 1000 aktív, vrátane komplexnej technickej podpory a aktualizácií.</w:t>
      </w:r>
    </w:p>
    <w:p w14:paraId="3F5F3AB2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Technické a funkčné požiadavky pre implemetáciu a technický rozvoj riešenia:</w:t>
      </w:r>
    </w:p>
    <w:p w14:paraId="435B9F19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Dodávateľ je povinný dodať, implementovať a nakonfigurovať riešenie pre Attack Surface Management / komplexný manažment útočnej plochy/, ktoré musí byť integrálnou súčasťou jestvujúcej platformy ako rozšírenie existujúceho systému o ďalšie bezpečnostné funkcionality a služby:</w:t>
      </w:r>
    </w:p>
    <w:p w14:paraId="2CF35328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dynamickej identifikácie a sledovania viditeľnosti interných a externých aktív.</w:t>
      </w:r>
    </w:p>
    <w:p w14:paraId="0DC9ED8A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dynamickej identifikácie identít.</w:t>
      </w:r>
    </w:p>
    <w:p w14:paraId="16AA8FF7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 aktív bez inštalovanej ochrany koncového bodu EDR.</w:t>
      </w:r>
    </w:p>
    <w:p w14:paraId="2861BF7D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 identít bez multifaktorovej autentifikácie MFA.</w:t>
      </w:r>
    </w:p>
    <w:p w14:paraId="48FBE032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 aktív bez vykonanej identifikácie zraniteľností.</w:t>
      </w:r>
    </w:p>
    <w:p w14:paraId="01D4CA71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 a sledovania zdrojov ako sú API rozhrania, IoT zariadenia, TLS certifikáty, webové stránky a iné aktíva vystavené do internetu.</w:t>
      </w:r>
    </w:p>
    <w:p w14:paraId="5B66F038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identifikácie, klasifikácie a určenia priority slabých miest vo vzťahu ku zraniteľnostiam (CVE), nesprávnym konfiguráciám, vystaveným API rozhraniam a vystaveným administrátorským rozhraniam.</w:t>
      </w:r>
    </w:p>
    <w:p w14:paraId="171A83C4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identifikácie a sledovania viditeľnosti interných a externých aktív a zdrojov (API rozhrania, IoT zariadenia, TLS certifikáty, webové stránky a iné aktíva vystavené do internetu), pričom musí prebiehať automatizovane bez nutnosti pravidelného manuálneho spúšťania úloh.</w:t>
      </w:r>
    </w:p>
    <w:p w14:paraId="6F3DC480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tvorby automatizovaných workflow.</w:t>
      </w:r>
    </w:p>
    <w:p w14:paraId="2FA85B96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identifikácie nemanažovaných a neznámych zdrojov.</w:t>
      </w:r>
    </w:p>
    <w:p w14:paraId="68CE5159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zberu a priradenia metadát vo vzťahu ku aktívam.</w:t>
      </w:r>
    </w:p>
    <w:p w14:paraId="4E13A497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lokalizácie externých zdrojov naprieč cloudovými službami.</w:t>
      </w:r>
    </w:p>
    <w:p w14:paraId="629E05DA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Podpora integrácií minimálne v rozsahu: Atlassian Jira Cloud, AWS (Amazon Web Services), CISA KEV Catalog, Cisco Duo, First EPSS, Google Cloud, Microsoft 365, Microsoft Active Directory, Microsoft Azure, Microsoft Entra ID, </w:t>
      </w:r>
      <w:r w:rsidRPr="00273E45">
        <w:rPr>
          <w:rFonts w:ascii="Garamond" w:hAnsi="Garamond"/>
          <w:szCs w:val="20"/>
        </w:rPr>
        <w:lastRenderedPageBreak/>
        <w:t>MITRE ATT&amp;CK, NIST NVD, Okta, Proxmox Virtual Environment, Red Hat Insights, SentinelOne, ServiceNow, VMWare vCenter, Zabbix.</w:t>
      </w:r>
    </w:p>
    <w:p w14:paraId="63536398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celkom viac ako 200 integrácií na iné bezpečnostné riešenia a aplikácie tretích strán s postupným rozširovaním výrobcom bez dodatočných nákladov.</w:t>
      </w:r>
    </w:p>
    <w:p w14:paraId="1120B189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Funkcionalita agregácie zbieraných údajov, ich konsolidácia a deduplikácia.</w:t>
      </w:r>
    </w:p>
    <w:p w14:paraId="2E479D27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Natívna podpora existujúceho SIEM riešenia.</w:t>
      </w:r>
    </w:p>
    <w:p w14:paraId="0C64A67B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prezentácie údajov formou Dashboard-ov a reportov vo formáte PDF.</w:t>
      </w:r>
    </w:p>
    <w:p w14:paraId="0C5370D6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exportu údajov vo formáte CSV.</w:t>
      </w:r>
    </w:p>
    <w:p w14:paraId="781C8566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Podpora filtrovania údajov pomocou dotazov (query) bez nutnosti učenia sa programovacieho jazyka.</w:t>
      </w:r>
    </w:p>
    <w:p w14:paraId="79369B14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Konfiguračné práce:</w:t>
      </w:r>
    </w:p>
    <w:p w14:paraId="3EE84660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Dodávateľ je povinný vykonať súbor konfiguračných a implementačných prác, ktoré sú nevyhnutné pre plnú integráciu nového modulu do existujúceho bezpečnostného prostredia Objednávateľa. Tieto práce zahŕňajú:</w:t>
      </w:r>
    </w:p>
    <w:p w14:paraId="6FE0B14E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1. Optimalizácia a ladenie existujúcich riešení</w:t>
      </w:r>
    </w:p>
    <w:p w14:paraId="19FEF4C6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Audit existujúceho nastavenia: Revízia aktuálnych konfigurácií systémov Insight IDR a Insight VM so zameraním na  optimalizáciu výkonu zberu dát.</w:t>
      </w:r>
    </w:p>
    <w:p w14:paraId="65011815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Aktualizácia komponentov: Upgrade všetkých agentov, kolektorov a príslušných softvérových komponentov na najnovšie stabilné verzie výrobcu, aby bola zabezpečená plná kompatibilita s novým modulom.</w:t>
      </w:r>
    </w:p>
    <w:p w14:paraId="7605DAC2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Ladenie detekčných mechanizmov: Kalibrácia existujúcich korelačných pravidiel a profilov zraniteľností s cieľom minimalizovať výskyt falošne pozitívnych nálezov.</w:t>
      </w:r>
    </w:p>
    <w:p w14:paraId="59A62B5A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2. Implementácia a integrácia riešenia pre Attack Surface Management</w:t>
      </w:r>
    </w:p>
    <w:p w14:paraId="56DA04AB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Počiatočná konfigurácia a konektivita: Nastavenie komunikácie medzi existujúcou platformou a modulom ASM, konfigurácia cloudových konektorov a prístupov k externým zdrojom dát.</w:t>
      </w:r>
    </w:p>
    <w:p w14:paraId="04F20052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Discovery a inventarizácia aktív: Spustenie a dohľad nad úvodným procesom identifikácie aktív (interných, externých, identít, cloudových zdrojov).</w:t>
      </w:r>
    </w:p>
    <w:p w14:paraId="5303085A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Integrácia s existujúcim ekosystémom: Prepojenie ASM modulu s podporovanými integračnými bodmi s cieľom dosiahnuť automatizovaný tok informácií o zraniteľnostiach a rizikách.</w:t>
      </w:r>
    </w:p>
    <w:p w14:paraId="3664583C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Nastavenie automatizovaných workflow: Návrh a implementácia automatizovaných procesov pre eskaláciu kritických nálezov, definíciu vlastníctva aktív a automatické upozorňovanie administrátorov pri detekcii nového nezabezpečeného zdroja.</w:t>
      </w:r>
    </w:p>
    <w:p w14:paraId="4299D315" w14:textId="77777777" w:rsidR="00273E45" w:rsidRPr="00273E45" w:rsidRDefault="00273E45" w:rsidP="005354B7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Definícia a ladenie politík: Konfigurácia pravidiel pre prioritizáciu rizík na základe kontextu Objednávateľa (napr. podľa kritickosti aktív, typu zraniteľnosti CVE alebo expozície do internetu).</w:t>
      </w:r>
    </w:p>
    <w:p w14:paraId="2243ABF1" w14:textId="77777777" w:rsidR="00273E45" w:rsidRPr="00273E45" w:rsidRDefault="00273E45" w:rsidP="005354B7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Podpora riešenia:</w:t>
      </w:r>
    </w:p>
    <w:p w14:paraId="1927F1D4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Post-implementačná podpora v rozsahu </w:t>
      </w:r>
    </w:p>
    <w:p w14:paraId="2C750B1D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20 človekodeň na obdobie 24 kalendárnych mesiacov, ktorá obsahuje: </w:t>
      </w:r>
    </w:p>
    <w:p w14:paraId="21381ABF" w14:textId="77777777" w:rsidR="00273E45" w:rsidRPr="00273E45" w:rsidRDefault="00273E45" w:rsidP="00F4555D">
      <w:pPr>
        <w:pStyle w:val="Odsekzoznamu"/>
        <w:numPr>
          <w:ilvl w:val="0"/>
          <w:numId w:val="5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Technická  podpora prostredia</w:t>
      </w:r>
    </w:p>
    <w:p w14:paraId="0066E89C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inštalácia a konfigurácia </w:t>
      </w:r>
    </w:p>
    <w:p w14:paraId="06F64646" w14:textId="77777777" w:rsidR="00273E45" w:rsidRPr="00273E45" w:rsidRDefault="00273E45" w:rsidP="00F4555D">
      <w:pPr>
        <w:spacing w:before="40" w:after="80" w:line="254" w:lineRule="auto"/>
        <w:ind w:left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konfigurácia systémových nastavení </w:t>
      </w:r>
    </w:p>
    <w:p w14:paraId="30F2953E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konfigurácia komponentov (kolektorov, NTA zariadení, orchestrátorov)</w:t>
      </w:r>
    </w:p>
    <w:p w14:paraId="65543B03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konfigurácia a tvorba alertov </w:t>
      </w:r>
    </w:p>
    <w:p w14:paraId="6B68C854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konfigurácia a tvorba queries</w:t>
      </w:r>
    </w:p>
    <w:p w14:paraId="2DDA25C5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konfigurácia a tvorba dashboard </w:t>
      </w:r>
    </w:p>
    <w:p w14:paraId="24E7B5BC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konfigurácia event sources a custom parser (data management)</w:t>
      </w:r>
    </w:p>
    <w:p w14:paraId="6833A57E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podpora pri riešení technických problémov s platformou </w:t>
      </w:r>
    </w:p>
    <w:p w14:paraId="2060B575" w14:textId="77777777" w:rsidR="00273E45" w:rsidRPr="00273E45" w:rsidRDefault="00273E45" w:rsidP="00F4555D">
      <w:pPr>
        <w:pStyle w:val="Odsekzoznamu"/>
        <w:numPr>
          <w:ilvl w:val="0"/>
          <w:numId w:val="6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Konzultačná podpora pri identifikovaných bezpečnostných incidentoch </w:t>
      </w:r>
    </w:p>
    <w:p w14:paraId="391E0573" w14:textId="77777777" w:rsidR="00273E45" w:rsidRPr="00273E45" w:rsidRDefault="00273E45" w:rsidP="00F4555D">
      <w:pPr>
        <w:pStyle w:val="Odsekzoznamu"/>
        <w:numPr>
          <w:ilvl w:val="0"/>
          <w:numId w:val="6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Podpora ďalšieho rozvoja riešenia  </w:t>
      </w:r>
    </w:p>
    <w:p w14:paraId="4FC3CC3E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lastRenderedPageBreak/>
        <w:t>•</w:t>
      </w:r>
      <w:r w:rsidRPr="00273E45">
        <w:rPr>
          <w:rFonts w:ascii="Garamond" w:hAnsi="Garamond"/>
          <w:szCs w:val="20"/>
        </w:rPr>
        <w:tab/>
        <w:t xml:space="preserve">zdroje udalostí, </w:t>
      </w:r>
    </w:p>
    <w:p w14:paraId="257F3A98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integrácie</w:t>
      </w:r>
    </w:p>
    <w:p w14:paraId="1CF7AB6B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využitie funkcionalít systému, </w:t>
      </w:r>
    </w:p>
    <w:p w14:paraId="6477E54F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licenčný model</w:t>
      </w:r>
    </w:p>
    <w:p w14:paraId="66A505CD" w14:textId="77777777" w:rsidR="00273E45" w:rsidRPr="00273E45" w:rsidRDefault="00273E45" w:rsidP="00F4555D">
      <w:pPr>
        <w:pStyle w:val="Odsekzoznamu"/>
        <w:numPr>
          <w:ilvl w:val="0"/>
          <w:numId w:val="7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Komunikácia s výrobcom </w:t>
      </w:r>
    </w:p>
    <w:p w14:paraId="63DC7E36" w14:textId="77777777" w:rsidR="00273E45" w:rsidRPr="00273E45" w:rsidRDefault="00273E45" w:rsidP="00F4555D">
      <w:pPr>
        <w:spacing w:before="40" w:after="80" w:line="254" w:lineRule="auto"/>
        <w:ind w:firstLine="708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 xml:space="preserve"> hlásenie technických problémov výrobcovi,  dotazy na obchodnú podporu</w:t>
      </w:r>
    </w:p>
    <w:p w14:paraId="1CE2B74F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Postup pri riešení Problémov/požiadaviek – Helpdesk:</w:t>
      </w:r>
    </w:p>
    <w:p w14:paraId="409F156F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Na hlásenie problémov zo strany Objednávateľa bude Poskytovateľ prevádzkovať Helpdesk, ktorý bude poskytovať službu, ktorá pozostáva z nasledujúcich činností: </w:t>
      </w:r>
    </w:p>
    <w:p w14:paraId="320624F5" w14:textId="77777777" w:rsidR="00273E45" w:rsidRPr="00273E45" w:rsidRDefault="00273E45" w:rsidP="00DD2630">
      <w:pPr>
        <w:pStyle w:val="Odsekzoznamu"/>
        <w:numPr>
          <w:ilvl w:val="0"/>
          <w:numId w:val="1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Identifikácia Problému – poskytnutie pomoci Objednávateľovi s cieľom identifikovať príčinu daného Problému v rozsahu podporovaného systému Objednávateľa, </w:t>
      </w:r>
    </w:p>
    <w:p w14:paraId="30C4987B" w14:textId="77777777" w:rsidR="00273E45" w:rsidRPr="00273E45" w:rsidRDefault="00273E45" w:rsidP="00DD2630">
      <w:pPr>
        <w:pStyle w:val="Odsekzoznamu"/>
        <w:numPr>
          <w:ilvl w:val="0"/>
          <w:numId w:val="1"/>
        </w:num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Poskytovanie informácií o stave riešenia požiadaviek prostredníctvom on-line vzdialeného prístupu oprávnených osôb Objednávateľa do Helpdesku.</w:t>
      </w:r>
    </w:p>
    <w:p w14:paraId="011A797C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Postup</w:t>
      </w:r>
    </w:p>
    <w:p w14:paraId="6FB33281" w14:textId="547601B1" w:rsidR="00273E45" w:rsidRPr="007028A9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  <w:lang w:val="sk-SK"/>
        </w:rPr>
      </w:pPr>
      <w:r w:rsidRPr="00273E45">
        <w:rPr>
          <w:rFonts w:ascii="Garamond" w:hAnsi="Garamond"/>
          <w:szCs w:val="20"/>
        </w:rPr>
        <w:t>1)</w:t>
      </w:r>
      <w:r w:rsidRPr="00273E45">
        <w:rPr>
          <w:rFonts w:ascii="Garamond" w:hAnsi="Garamond"/>
          <w:szCs w:val="20"/>
        </w:rPr>
        <w:tab/>
        <w:t>Oprávnená</w:t>
      </w:r>
      <w:r w:rsidR="007028A9">
        <w:rPr>
          <w:rFonts w:ascii="Garamond" w:hAnsi="Garamond"/>
          <w:szCs w:val="20"/>
        </w:rPr>
        <w:t xml:space="preserve"> </w:t>
      </w:r>
      <w:r w:rsidR="007028A9" w:rsidRPr="007028A9">
        <w:rPr>
          <w:rFonts w:ascii="Garamond" w:hAnsi="Garamond"/>
          <w:szCs w:val="20"/>
          <w:lang w:val="sk-SK"/>
        </w:rPr>
        <w:t xml:space="preserve">osoba Objednávateľa zadáva/hlási problém alebo požiadavku prostredníctvom systému Helpdesk Poskytovateľa na adrese: </w:t>
      </w:r>
      <w:r w:rsidR="007028A9" w:rsidRPr="007028A9">
        <w:rPr>
          <w:rFonts w:ascii="Garamond" w:hAnsi="Garamond"/>
          <w:b/>
          <w:bCs/>
          <w:szCs w:val="20"/>
          <w:lang w:val="sk-SK"/>
        </w:rPr>
        <w:t>(doplní sa podľa údajov úspešného uchádzača pred podpisom zmluvy)</w:t>
      </w:r>
      <w:r w:rsidR="007028A9" w:rsidRPr="007028A9">
        <w:rPr>
          <w:rFonts w:ascii="Garamond" w:hAnsi="Garamond"/>
          <w:szCs w:val="20"/>
          <w:lang w:val="sk-SK"/>
        </w:rPr>
        <w:t xml:space="preserve">, v prípade jeho nedostupnosti e-mailom na adresu: </w:t>
      </w:r>
      <w:r w:rsidR="007028A9" w:rsidRPr="007028A9">
        <w:rPr>
          <w:rFonts w:ascii="Garamond" w:hAnsi="Garamond"/>
          <w:b/>
          <w:bCs/>
          <w:szCs w:val="20"/>
          <w:lang w:val="sk-SK"/>
        </w:rPr>
        <w:t>(doplní sa podľa údajov úspešného uchádzača pred podpisom zmluvy)</w:t>
      </w:r>
      <w:r w:rsidR="007028A9" w:rsidRPr="007028A9">
        <w:rPr>
          <w:rFonts w:ascii="Garamond" w:hAnsi="Garamond"/>
          <w:szCs w:val="20"/>
          <w:lang w:val="sk-SK"/>
        </w:rPr>
        <w:t>.</w:t>
      </w:r>
      <w:r w:rsidR="007028A9">
        <w:rPr>
          <w:rFonts w:ascii="Garamond" w:hAnsi="Garamond"/>
          <w:szCs w:val="20"/>
          <w:lang w:val="sk-SK"/>
        </w:rPr>
        <w:t xml:space="preserve"> </w:t>
      </w:r>
      <w:r w:rsidRPr="00273E45">
        <w:rPr>
          <w:rFonts w:ascii="Garamond" w:hAnsi="Garamond"/>
          <w:szCs w:val="20"/>
        </w:rPr>
        <w:t xml:space="preserve">Oprávnená osoba Objednávateľa nahlasuje problém podľa predchádzajúcej vety Poskytovateľovi až potom, ako nebolo možné vyriešiť tento problém v prvom stupni Oprávnenou osobou Objednávateľa. </w:t>
      </w:r>
    </w:p>
    <w:p w14:paraId="48A5825D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Uskutočniť takéto hlásenie môže výlučne Oprávnená osoba Objednávateľa. Každé hlásenie Problému prijaté akýmkoľvek spôsobom sa zaeviduje v Helpdesku. Helpdesk vygeneruje identifikačné číslo požiadavky/problému. Helpdesk eviduje minimálne: čas odoslania hlásenia a oprávnenú osobu, kritickosť , čas prijatia hlásenia oprávnenou osobou Poskytovateľa, čas pridelenia riešiteľovi, čas zahájenia riešenia a čas vyriešenia požiadavky alebo Problému. Akákoľvek budúca komunikácia medzi Poskytovateľom a Objednávateľom sa uskutočňuje použitím priradeného identifikačného čísla požiadavky/Problému. Všetky záznamy, prílohy a komunikácia Oprávnených osôb Poskytovateľa a Objednávateľa sú evidované najmä v Helpdesku dostupnom on-line. </w:t>
      </w:r>
    </w:p>
    <w:p w14:paraId="108706C6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2)</w:t>
      </w:r>
      <w:r w:rsidRPr="00273E45">
        <w:rPr>
          <w:rFonts w:ascii="Garamond" w:hAnsi="Garamond"/>
          <w:szCs w:val="20"/>
        </w:rPr>
        <w:tab/>
        <w:t xml:space="preserve">Špecialista Poskytovateľa preverí požiadavku/Problém a začne ich prešetrenie. Podľa potreby kontaktuje Oprávnenú osobu Objednávateľa. Komunikácia pracovníka Poskytovateľa prebieha priamo s Oprávnenou osobou Objednávateľa. Špecialista Poskytovateľa oznámi výsledok prešetrenia a odporúčané riešenie Oprávnenej osobe Objednávateľa. Na základe výsledkov prešetrenia bude pokračovať riešenie Problému. </w:t>
      </w:r>
    </w:p>
    <w:p w14:paraId="271B9D5E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3)</w:t>
      </w:r>
      <w:r w:rsidRPr="00273E45">
        <w:rPr>
          <w:rFonts w:ascii="Garamond" w:hAnsi="Garamond"/>
          <w:szCs w:val="20"/>
        </w:rPr>
        <w:tab/>
        <w:t>Problém bude riešený na základe priority určenej dohodou a definíciou kategórie požiadavky/Problému Oprávnenými osobami Objednávateľa a Poskytovateľa. Oprávnená osoba Objednávateľa má právo zmeniť poradie priorít riešenia otvorených Problémov/požiadaviek po dohode s oprávneným zástupcom zo strany Poskytovateľa dokumentovateľným spôsobom – záznamom v Helpdesku.</w:t>
      </w:r>
    </w:p>
    <w:p w14:paraId="6970E4E8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4)</w:t>
      </w:r>
      <w:r w:rsidRPr="00273E45">
        <w:rPr>
          <w:rFonts w:ascii="Garamond" w:hAnsi="Garamond"/>
          <w:szCs w:val="20"/>
        </w:rPr>
        <w:tab/>
        <w:t>Oprávnená osoba Objednávateľa po vykonaní služieb pracovníkom Poskytovateľa v priestoroch Objednávateľa alebo na diaľku vzdialeným pripojením, potvrdí poskytnutie služby a funkčnosť riešenia v Helpdesku.</w:t>
      </w:r>
    </w:p>
    <w:p w14:paraId="2B0A763E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5)</w:t>
      </w:r>
      <w:r w:rsidRPr="00273E45">
        <w:rPr>
          <w:rFonts w:ascii="Garamond" w:hAnsi="Garamond"/>
          <w:szCs w:val="20"/>
        </w:rPr>
        <w:tab/>
        <w:t xml:space="preserve">Všetky vyriešené požiadavky /Problémy Objednávateľa musia byť potvrdené a ich vyriešenie musí byť zaevidované v Helpdesku. Splnenie požiadavky/Problému bude potvrdené v rozsahu ich riešenia Oprávnenou osobou Objednávateľa. Objednávateľ je povinný potvrdiť vyriešenie každej požiadavky/Problému najneskôr do 5 pracovných dní odo dňa jej vyriešenia. Akceptovanie riešenia požiadavky/Problému bude zaevidované priamo v Helpdesku. V prípade, ak Objednávateľ riešenie požiadavky/Problému neakceptuje, v rovnakej lehote svoje pripomienky a výhrady uvedie v Helpdesku. Ak Objednávateľ bez závažného dôvodu neakceptuje vyriešenie požiadavky/Problému a ani nevznesie pripomienky k riešeniu požiadavky/Problému ani do 5 pracovných dní od ich vykonania, považuje sa riešenie požiadavky/Problému za akceptované a Helpdesk automaticky vykoná mailovú notifikáciu. </w:t>
      </w:r>
    </w:p>
    <w:p w14:paraId="4B66F9D2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Služby post-implementačnej podpory dodaného komplexného nástroja  softvéru</w:t>
      </w:r>
    </w:p>
    <w:p w14:paraId="488ACA33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Popis</w:t>
      </w:r>
      <w:r w:rsidRPr="00273E45">
        <w:rPr>
          <w:rFonts w:ascii="Garamond" w:hAnsi="Garamond"/>
          <w:szCs w:val="20"/>
        </w:rPr>
        <w:tab/>
        <w:t>Parameter</w:t>
      </w:r>
      <w:r w:rsidRPr="00273E45">
        <w:rPr>
          <w:rFonts w:ascii="Garamond" w:hAnsi="Garamond"/>
          <w:szCs w:val="20"/>
        </w:rPr>
        <w:tab/>
        <w:t>Poznámka</w:t>
      </w:r>
    </w:p>
    <w:p w14:paraId="0F7BE95C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Prevádzkové hodiny</w:t>
      </w:r>
      <w:r w:rsidRPr="00273E45">
        <w:rPr>
          <w:rFonts w:ascii="Garamond" w:hAnsi="Garamond"/>
          <w:szCs w:val="20"/>
        </w:rPr>
        <w:tab/>
        <w:t>9 hodín</w:t>
      </w:r>
      <w:r w:rsidRPr="00273E45">
        <w:rPr>
          <w:rFonts w:ascii="Garamond" w:hAnsi="Garamond"/>
          <w:szCs w:val="20"/>
        </w:rPr>
        <w:tab/>
        <w:t>08:00 – 17:00 hod, počas pracovných dní</w:t>
      </w:r>
    </w:p>
    <w:p w14:paraId="1FB4384E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lastRenderedPageBreak/>
        <w:t xml:space="preserve">Mimoriadna pohotovosť </w:t>
      </w:r>
    </w:p>
    <w:p w14:paraId="5FE0BF8E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V prípade potreby, na základe žiadosti Objednávateľa, Poskytovateľ zabezpečí mimoriadnu pohotovosť a mimoriadne výkony nespadajúce do bežnej pracovnej doby. Objednávateľ je povinný takéto mimoriadne akcie nahlásiť Poskytovateľovi v predstihu minimálne desať (10) pracovných dní vopred.</w:t>
      </w:r>
    </w:p>
    <w:p w14:paraId="4C21A5C5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Popis</w:t>
      </w:r>
      <w:r w:rsidRPr="00273E45">
        <w:rPr>
          <w:rFonts w:ascii="Garamond" w:hAnsi="Garamond"/>
          <w:szCs w:val="20"/>
        </w:rPr>
        <w:tab/>
        <w:t>Poznámka</w:t>
      </w:r>
    </w:p>
    <w:p w14:paraId="41E141B8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Pohotovosť – nočná</w:t>
      </w:r>
      <w:r w:rsidRPr="00273E45">
        <w:rPr>
          <w:rFonts w:ascii="Garamond" w:hAnsi="Garamond"/>
          <w:szCs w:val="20"/>
        </w:rPr>
        <w:tab/>
        <w:t>Od 17:00 – 8:00 hod počas pracovných dní</w:t>
      </w:r>
    </w:p>
    <w:p w14:paraId="79A310CC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Pohotovosť – 24 hod.</w:t>
      </w:r>
      <w:r w:rsidRPr="00273E45">
        <w:rPr>
          <w:rFonts w:ascii="Garamond" w:hAnsi="Garamond"/>
          <w:szCs w:val="20"/>
        </w:rPr>
        <w:tab/>
        <w:t>00:00 – 24:00 hod počas pracovných dní</w:t>
      </w:r>
    </w:p>
    <w:p w14:paraId="7FC863F5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ab/>
        <w:t>00:00 – 24:00 hod počas pracovných dní počas sviatkov a dní pracovného pokoja</w:t>
      </w:r>
    </w:p>
    <w:p w14:paraId="45AFA5F7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 xml:space="preserve">Úroveň spracovania požiadaviek/Problémov </w:t>
      </w:r>
    </w:p>
    <w:p w14:paraId="7E7EC739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Prevádzkové hodiny Poskytovateľa pre Služby podpory prevádzky a údržby ,Služby podpory aplikačného programového vybavenia a systémového softvéru sú počas pracovných dní od 08:00 do 17:00 hod.</w:t>
      </w:r>
    </w:p>
    <w:p w14:paraId="60ADD562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Čas mimo prevádzkové hodiny Poskytovateľa podľa predchádzajúcej vety sa do Reakčnej doby nezapočítava.</w:t>
      </w:r>
    </w:p>
    <w:p w14:paraId="07DFFE3A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Reakčná doba Poskytovateľa na Problém sa určuje na základe príslušnej úrovne Problému. Poskytovateľ poskytuje Služby podpory prevádzky a Služby podpory aplikačného programového vybavenia a systémového softvéru podľa tabuľky uvedenej nižšie. Čas sa vždy meria od momentu, kedy je Problém zaznamenaný do Helpdesku.</w:t>
      </w:r>
    </w:p>
    <w:p w14:paraId="3728A095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 xml:space="preserve">Typ požiadavky </w:t>
      </w:r>
      <w:r w:rsidRPr="00273E45">
        <w:rPr>
          <w:rFonts w:ascii="Garamond" w:hAnsi="Garamond"/>
          <w:b/>
          <w:bCs/>
          <w:szCs w:val="20"/>
        </w:rPr>
        <w:tab/>
        <w:t xml:space="preserve">Reakčná doba – a zároveň maximálna doba vyriešenie problému v prevádzkových hodinách </w:t>
      </w:r>
    </w:p>
    <w:p w14:paraId="2CA53FBC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bCs/>
          <w:szCs w:val="20"/>
        </w:rPr>
        <w:t>Kategória A</w:t>
      </w:r>
      <w:r w:rsidRPr="00273E45">
        <w:rPr>
          <w:rFonts w:ascii="Garamond" w:hAnsi="Garamond"/>
          <w:szCs w:val="20"/>
        </w:rPr>
        <w:t xml:space="preserve"> - Kritický problém </w:t>
      </w:r>
    </w:p>
    <w:p w14:paraId="5A8ACD56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Kritické poruchy alebo vady spôsobujúce nefunkčnosť komplexného nástroja</w:t>
      </w:r>
      <w:r w:rsidRPr="00273E45">
        <w:rPr>
          <w:rFonts w:ascii="Garamond" w:hAnsi="Garamond"/>
          <w:szCs w:val="20"/>
        </w:rPr>
        <w:tab/>
        <w:t>do 8 hod.</w:t>
      </w:r>
    </w:p>
    <w:p w14:paraId="19F4455F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bCs/>
          <w:szCs w:val="20"/>
        </w:rPr>
        <w:t>Kategória B</w:t>
      </w:r>
      <w:r w:rsidRPr="00273E45">
        <w:rPr>
          <w:rFonts w:ascii="Garamond" w:hAnsi="Garamond"/>
          <w:szCs w:val="20"/>
        </w:rPr>
        <w:t xml:space="preserve"> - Nekritický problém</w:t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  <w:t>do 24 hod.</w:t>
      </w:r>
    </w:p>
    <w:p w14:paraId="4B15FAEB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bCs/>
          <w:szCs w:val="20"/>
        </w:rPr>
        <w:t>Kategória C</w:t>
      </w:r>
      <w:r w:rsidRPr="00273E45">
        <w:rPr>
          <w:rFonts w:ascii="Garamond" w:hAnsi="Garamond"/>
          <w:szCs w:val="20"/>
        </w:rPr>
        <w:t xml:space="preserve"> – Modifikácia komplexného nástoja, iné požiadavky</w:t>
      </w:r>
      <w:r w:rsidRPr="00273E45">
        <w:rPr>
          <w:rFonts w:ascii="Garamond" w:hAnsi="Garamond"/>
          <w:szCs w:val="20"/>
        </w:rPr>
        <w:tab/>
      </w:r>
      <w:r w:rsidRPr="00273E45">
        <w:rPr>
          <w:rFonts w:ascii="Garamond" w:hAnsi="Garamond"/>
          <w:szCs w:val="20"/>
        </w:rPr>
        <w:tab/>
        <w:t>do 48 hod.</w:t>
      </w:r>
    </w:p>
    <w:p w14:paraId="2547E60F" w14:textId="77777777" w:rsidR="00273E45" w:rsidRPr="00273E45" w:rsidRDefault="00273E45" w:rsidP="00DD2630">
      <w:pPr>
        <w:keepNext/>
        <w:spacing w:before="180" w:after="80" w:line="254" w:lineRule="auto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Prevádzková podpora a odovzdanie</w:t>
      </w:r>
    </w:p>
    <w:p w14:paraId="52519B60" w14:textId="77777777" w:rsidR="00273E45" w:rsidRPr="00273E45" w:rsidRDefault="00273E45" w:rsidP="00DD2630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Zaškolenie obsluhy a správy systému pre minimálne 2 zamestnancov Objednávateľa v rozsahu umožňujúcom plnú samostatnú administráciu.</w:t>
      </w:r>
    </w:p>
    <w:p w14:paraId="1FC2881F" w14:textId="77777777" w:rsidR="00273E45" w:rsidRPr="00273E45" w:rsidRDefault="00273E45" w:rsidP="00DD2630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Vytvorenie a odovzdanie dokumentácie reálneho vyhotovenia (As-Built).</w:t>
      </w:r>
    </w:p>
    <w:p w14:paraId="04ECC35D" w14:textId="77777777" w:rsidR="00273E45" w:rsidRPr="00273E45" w:rsidRDefault="00273E45" w:rsidP="00DD2630">
      <w:pPr>
        <w:spacing w:before="40" w:after="80" w:line="254" w:lineRule="auto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Nastavenie pravidelného zasielania definovaných reportov vybraným zamestnancom Objednávateľa.</w:t>
      </w:r>
    </w:p>
    <w:p w14:paraId="0A0F7FCF" w14:textId="77777777" w:rsidR="00273E45" w:rsidRPr="00273E45" w:rsidRDefault="00273E45" w:rsidP="0009012A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 xml:space="preserve">Požiadavky na dodávateľa: </w:t>
      </w:r>
    </w:p>
    <w:p w14:paraId="0FA6E472" w14:textId="77777777" w:rsidR="00273E45" w:rsidRPr="00273E45" w:rsidRDefault="00273E45" w:rsidP="0009012A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dodávateľ je povinný preukázať Objednávateľovi disponovanie certifikátom ISO/IEC 27001 (systém manažérstva informačnej bezpečnosti)</w:t>
      </w:r>
    </w:p>
    <w:p w14:paraId="10969E64" w14:textId="77777777" w:rsidR="00273E45" w:rsidRPr="00273E45" w:rsidRDefault="00273E45" w:rsidP="00F4555D">
      <w:pPr>
        <w:keepNext/>
        <w:spacing w:before="18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bCs/>
          <w:szCs w:val="20"/>
        </w:rPr>
        <w:t>Špecialisti</w:t>
      </w:r>
      <w:r w:rsidRPr="00273E45">
        <w:rPr>
          <w:rFonts w:ascii="Garamond" w:hAnsi="Garamond"/>
          <w:b/>
          <w:szCs w:val="20"/>
        </w:rPr>
        <w:t>:</w:t>
      </w:r>
    </w:p>
    <w:p w14:paraId="713E4819" w14:textId="08D4953A" w:rsidR="00273E45" w:rsidRPr="00273E45" w:rsidRDefault="005D1686" w:rsidP="00F4555D">
      <w:pPr>
        <w:spacing w:before="40" w:after="80" w:line="254" w:lineRule="auto"/>
        <w:ind w:firstLine="708"/>
        <w:jc w:val="both"/>
        <w:rPr>
          <w:rFonts w:ascii="Garamond" w:hAnsi="Garamond"/>
          <w:i/>
          <w:iCs/>
          <w:szCs w:val="20"/>
        </w:rPr>
      </w:pPr>
      <w:r>
        <w:rPr>
          <w:rFonts w:ascii="Garamond" w:hAnsi="Garamond"/>
          <w:i/>
          <w:iCs/>
          <w:szCs w:val="20"/>
        </w:rPr>
        <w:t>1</w:t>
      </w:r>
      <w:r w:rsidR="00273E45" w:rsidRPr="00273E45">
        <w:rPr>
          <w:rFonts w:ascii="Garamond" w:hAnsi="Garamond"/>
          <w:i/>
          <w:iCs/>
          <w:szCs w:val="20"/>
        </w:rPr>
        <w:t>. Technický expert</w:t>
      </w:r>
    </w:p>
    <w:p w14:paraId="7D60EDCD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Rola: Zodpovedný za technickú realizáciu a implementáciu ponúkaného riešenia.</w:t>
      </w:r>
    </w:p>
    <w:p w14:paraId="0A8FC218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Požadovaná certifikácia:</w:t>
      </w:r>
    </w:p>
    <w:p w14:paraId="4815C67E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o</w:t>
      </w:r>
      <w:r w:rsidRPr="00273E45">
        <w:rPr>
          <w:rFonts w:ascii="Garamond" w:hAnsi="Garamond"/>
          <w:szCs w:val="20"/>
        </w:rPr>
        <w:tab/>
        <w:t>Certifikácia vydaná výrobcom/dodávateľom pre nástroje Rapid7, alebo certifikácia pre ekvivalentné riešenie (vydaná príslušným výrobcom softvéru/nástroja, ktorý uchádzač ponúka v rámci predmetu zákazky).</w:t>
      </w:r>
    </w:p>
    <w:p w14:paraId="066CBD53" w14:textId="2D3B5FEB" w:rsidR="00273E45" w:rsidRPr="00273E45" w:rsidRDefault="005D1686" w:rsidP="00F4555D">
      <w:pPr>
        <w:spacing w:before="40" w:after="80" w:line="254" w:lineRule="auto"/>
        <w:ind w:firstLine="708"/>
        <w:jc w:val="both"/>
        <w:rPr>
          <w:rFonts w:ascii="Garamond" w:hAnsi="Garamond"/>
          <w:i/>
          <w:iCs/>
          <w:szCs w:val="20"/>
        </w:rPr>
      </w:pPr>
      <w:r>
        <w:rPr>
          <w:rFonts w:ascii="Garamond" w:hAnsi="Garamond"/>
          <w:i/>
          <w:iCs/>
          <w:szCs w:val="20"/>
        </w:rPr>
        <w:t>2</w:t>
      </w:r>
      <w:r w:rsidR="00273E45" w:rsidRPr="00273E45">
        <w:rPr>
          <w:rFonts w:ascii="Garamond" w:hAnsi="Garamond"/>
          <w:i/>
          <w:iCs/>
          <w:szCs w:val="20"/>
        </w:rPr>
        <w:t xml:space="preserve">. Procesný špecialista pre bezpečnosť </w:t>
      </w:r>
    </w:p>
    <w:p w14:paraId="14A7BBB2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Rola: Zodpovedný za procesnú bezpečnosť, metodiku a súlad s bezpečnostnými štandardmi.</w:t>
      </w:r>
    </w:p>
    <w:p w14:paraId="01D86B64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•</w:t>
      </w:r>
      <w:r w:rsidRPr="00273E45">
        <w:rPr>
          <w:rFonts w:ascii="Garamond" w:hAnsi="Garamond"/>
          <w:szCs w:val="20"/>
        </w:rPr>
        <w:tab/>
        <w:t>Požadovaná certifikácia:</w:t>
      </w:r>
    </w:p>
    <w:p w14:paraId="669C98FE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o</w:t>
      </w:r>
      <w:r w:rsidRPr="00273E45">
        <w:rPr>
          <w:rFonts w:ascii="Garamond" w:hAnsi="Garamond"/>
          <w:szCs w:val="20"/>
        </w:rPr>
        <w:tab/>
        <w:t>Platný certifikát Interný audítor podľa ISO/IEC 27001 (alebo ekvivalentný certifikát v oblasti auditu systémov riadenia informačnej bezpečnosti).</w:t>
      </w:r>
    </w:p>
    <w:p w14:paraId="20A634ED" w14:textId="77777777" w:rsidR="00273E45" w:rsidRPr="00273E45" w:rsidRDefault="00273E45" w:rsidP="00F4555D">
      <w:pPr>
        <w:keepNext/>
        <w:spacing w:before="180" w:after="80" w:line="254" w:lineRule="auto"/>
        <w:jc w:val="both"/>
        <w:rPr>
          <w:rFonts w:ascii="Garamond" w:hAnsi="Garamond"/>
          <w:b/>
          <w:bCs/>
          <w:szCs w:val="20"/>
        </w:rPr>
      </w:pPr>
      <w:r w:rsidRPr="00273E45">
        <w:rPr>
          <w:rFonts w:ascii="Garamond" w:hAnsi="Garamond"/>
          <w:b/>
          <w:bCs/>
          <w:szCs w:val="20"/>
        </w:rPr>
        <w:t>Spôsob preukázania (Doklady)</w:t>
      </w:r>
    </w:p>
    <w:p w14:paraId="23491AC0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Uchádzač v ponuke preukáže splnenie požiadaviek predložením:</w:t>
      </w:r>
    </w:p>
    <w:p w14:paraId="4694097F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1.</w:t>
      </w:r>
      <w:r w:rsidRPr="00273E45">
        <w:rPr>
          <w:rFonts w:ascii="Garamond" w:hAnsi="Garamond"/>
          <w:szCs w:val="20"/>
        </w:rPr>
        <w:tab/>
        <w:t>Menného zoznamu expertného tímu s jednoznačným priradením konkrétnej osoby k danej pozícii.</w:t>
      </w:r>
    </w:p>
    <w:p w14:paraId="383D2D7F" w14:textId="77777777" w:rsidR="00273E45" w:rsidRPr="00273E45" w:rsidRDefault="00273E45" w:rsidP="00F4555D">
      <w:pPr>
        <w:spacing w:before="40" w:after="80" w:line="254" w:lineRule="auto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2.</w:t>
      </w:r>
      <w:r w:rsidRPr="00273E45">
        <w:rPr>
          <w:rFonts w:ascii="Garamond" w:hAnsi="Garamond"/>
          <w:szCs w:val="20"/>
        </w:rPr>
        <w:tab/>
        <w:t>Kópie platných certifikátov pre jednotlivých expertov podľa vyššie uvedených požiadaviek.</w:t>
      </w:r>
    </w:p>
    <w:p w14:paraId="1E072B3E" w14:textId="77777777" w:rsidR="005A0863" w:rsidRPr="00273E45" w:rsidRDefault="00273E45">
      <w:pPr>
        <w:keepNext/>
        <w:spacing w:before="240" w:after="100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lastRenderedPageBreak/>
        <w:t>B. CENOVÁ TABUĽKA – DOPLNENIE PRE ÚČELY CENOVÉHO PRIESKUMU</w:t>
      </w:r>
    </w:p>
    <w:p w14:paraId="1412B5A7" w14:textId="77777777" w:rsidR="005A0863" w:rsidRPr="00273E45" w:rsidRDefault="00273E45">
      <w:pPr>
        <w:keepNext/>
        <w:spacing w:before="180" w:after="10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6. Cenová tabuľka – záväzný spôsob oceňovania</w:t>
      </w:r>
    </w:p>
    <w:p w14:paraId="2CCF9020" w14:textId="77777777" w:rsidR="005A0863" w:rsidRDefault="00273E45">
      <w:pPr>
        <w:spacing w:after="8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Uchádzač uvedie cenu za všetky položky. Cena za 24-mesačné licencie zahŕňa výrobcom poskytované aktualizácie a technickú podporu. Cena položky č. 4 zahŕňa implementáciu, zaškolenie, As-Built dokumentáciu a nastavenie reportov. Cena položky č. 5 predstavuje jednotkovú cenu za jeden človekodeň podpory a celkovú cenu pri rozsahu 20 človekodní. Všetky ceny sú v EUR bez DPH.</w:t>
      </w:r>
    </w:p>
    <w:p w14:paraId="07210D83" w14:textId="77777777" w:rsidR="00273E45" w:rsidRPr="00273E45" w:rsidRDefault="00273E45">
      <w:pPr>
        <w:spacing w:after="80"/>
        <w:jc w:val="both"/>
        <w:rPr>
          <w:rFonts w:ascii="Garamond" w:hAnsi="Garamond"/>
          <w:szCs w:val="20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3742"/>
        <w:gridCol w:w="850"/>
        <w:gridCol w:w="850"/>
        <w:gridCol w:w="1644"/>
        <w:gridCol w:w="1474"/>
      </w:tblGrid>
      <w:tr w:rsidR="005A0863" w:rsidRPr="00273E45" w14:paraId="269AD4FD" w14:textId="77777777">
        <w:trPr>
          <w:tblHeader/>
          <w:jc w:val="center"/>
        </w:trPr>
        <w:tc>
          <w:tcPr>
            <w:tcW w:w="369" w:type="dxa"/>
            <w:shd w:val="clear" w:color="auto" w:fill="E2E2E2"/>
          </w:tcPr>
          <w:p w14:paraId="31D8E7E7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Č.</w:t>
            </w:r>
          </w:p>
        </w:tc>
        <w:tc>
          <w:tcPr>
            <w:tcW w:w="3742" w:type="dxa"/>
            <w:shd w:val="clear" w:color="auto" w:fill="E2E2E2"/>
          </w:tcPr>
          <w:p w14:paraId="69455F4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Položka</w:t>
            </w:r>
          </w:p>
        </w:tc>
        <w:tc>
          <w:tcPr>
            <w:tcW w:w="850" w:type="dxa"/>
            <w:shd w:val="clear" w:color="auto" w:fill="E2E2E2"/>
          </w:tcPr>
          <w:p w14:paraId="25664419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MJ</w:t>
            </w:r>
          </w:p>
        </w:tc>
        <w:tc>
          <w:tcPr>
            <w:tcW w:w="850" w:type="dxa"/>
            <w:shd w:val="clear" w:color="auto" w:fill="E2E2E2"/>
          </w:tcPr>
          <w:p w14:paraId="5F4F4A39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Množstvo</w:t>
            </w:r>
          </w:p>
        </w:tc>
        <w:tc>
          <w:tcPr>
            <w:tcW w:w="1644" w:type="dxa"/>
            <w:shd w:val="clear" w:color="auto" w:fill="E2E2E2"/>
          </w:tcPr>
          <w:p w14:paraId="7FDF500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Jednotková cena EUR bez DPH</w:t>
            </w:r>
          </w:p>
        </w:tc>
        <w:tc>
          <w:tcPr>
            <w:tcW w:w="1474" w:type="dxa"/>
            <w:shd w:val="clear" w:color="auto" w:fill="E2E2E2"/>
          </w:tcPr>
          <w:p w14:paraId="350F4A1C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b/>
                <w:szCs w:val="20"/>
              </w:rPr>
              <w:t>Cena spolu EUR bez DPH</w:t>
            </w:r>
          </w:p>
        </w:tc>
      </w:tr>
      <w:tr w:rsidR="005A0863" w:rsidRPr="00273E45" w14:paraId="62250469" w14:textId="77777777">
        <w:trPr>
          <w:jc w:val="center"/>
        </w:trPr>
        <w:tc>
          <w:tcPr>
            <w:tcW w:w="369" w:type="dxa"/>
            <w:vAlign w:val="center"/>
          </w:tcPr>
          <w:p w14:paraId="1CE9A5F6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1.</w:t>
            </w:r>
          </w:p>
        </w:tc>
        <w:tc>
          <w:tcPr>
            <w:tcW w:w="3742" w:type="dxa"/>
            <w:vAlign w:val="center"/>
          </w:tcPr>
          <w:p w14:paraId="4A907CB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Rapid7 Insight IDR Ultimate: obnova na 24 mesiacov, min. 600 aktív; podpora a aktualizácie</w:t>
            </w:r>
          </w:p>
        </w:tc>
        <w:tc>
          <w:tcPr>
            <w:tcW w:w="850" w:type="dxa"/>
            <w:vAlign w:val="center"/>
          </w:tcPr>
          <w:p w14:paraId="240E95F0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kpl.</w:t>
            </w:r>
          </w:p>
        </w:tc>
        <w:tc>
          <w:tcPr>
            <w:tcW w:w="850" w:type="dxa"/>
            <w:vAlign w:val="center"/>
          </w:tcPr>
          <w:p w14:paraId="5E9AD6E7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1</w:t>
            </w:r>
          </w:p>
        </w:tc>
        <w:tc>
          <w:tcPr>
            <w:tcW w:w="1644" w:type="dxa"/>
            <w:vAlign w:val="center"/>
          </w:tcPr>
          <w:p w14:paraId="75333707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[cena]</w:t>
            </w:r>
          </w:p>
        </w:tc>
        <w:tc>
          <w:tcPr>
            <w:tcW w:w="1474" w:type="dxa"/>
            <w:vAlign w:val="center"/>
          </w:tcPr>
          <w:p w14:paraId="48D302F3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 spolu]</w:t>
            </w:r>
          </w:p>
        </w:tc>
      </w:tr>
      <w:tr w:rsidR="005A0863" w:rsidRPr="00273E45" w14:paraId="4F8EC539" w14:textId="77777777">
        <w:trPr>
          <w:jc w:val="center"/>
        </w:trPr>
        <w:tc>
          <w:tcPr>
            <w:tcW w:w="369" w:type="dxa"/>
            <w:vAlign w:val="center"/>
          </w:tcPr>
          <w:p w14:paraId="41270BB5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2.</w:t>
            </w:r>
          </w:p>
        </w:tc>
        <w:tc>
          <w:tcPr>
            <w:tcW w:w="3742" w:type="dxa"/>
            <w:vAlign w:val="center"/>
          </w:tcPr>
          <w:p w14:paraId="11F8F73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Rapid7 Insight VM: obnova na 24 mesiacov, min. 1 000 aktív; podpora a aktualizácie</w:t>
            </w:r>
          </w:p>
        </w:tc>
        <w:tc>
          <w:tcPr>
            <w:tcW w:w="850" w:type="dxa"/>
            <w:vAlign w:val="center"/>
          </w:tcPr>
          <w:p w14:paraId="1731F339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kpl.</w:t>
            </w:r>
          </w:p>
        </w:tc>
        <w:tc>
          <w:tcPr>
            <w:tcW w:w="850" w:type="dxa"/>
            <w:vAlign w:val="center"/>
          </w:tcPr>
          <w:p w14:paraId="724C822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1</w:t>
            </w:r>
          </w:p>
        </w:tc>
        <w:tc>
          <w:tcPr>
            <w:tcW w:w="1644" w:type="dxa"/>
            <w:vAlign w:val="center"/>
          </w:tcPr>
          <w:p w14:paraId="7C2B32EA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[cena]</w:t>
            </w:r>
          </w:p>
        </w:tc>
        <w:tc>
          <w:tcPr>
            <w:tcW w:w="1474" w:type="dxa"/>
            <w:vAlign w:val="center"/>
          </w:tcPr>
          <w:p w14:paraId="204D464D" w14:textId="31DFC98C" w:rsidR="005A0863" w:rsidRPr="00273E45" w:rsidRDefault="001A13DE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 spolu]</w:t>
            </w:r>
          </w:p>
        </w:tc>
      </w:tr>
      <w:tr w:rsidR="005A0863" w:rsidRPr="00273E45" w14:paraId="57638247" w14:textId="77777777">
        <w:trPr>
          <w:jc w:val="center"/>
        </w:trPr>
        <w:tc>
          <w:tcPr>
            <w:tcW w:w="369" w:type="dxa"/>
            <w:vAlign w:val="center"/>
          </w:tcPr>
          <w:p w14:paraId="3330FFF6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3.</w:t>
            </w:r>
          </w:p>
        </w:tc>
        <w:tc>
          <w:tcPr>
            <w:tcW w:w="3742" w:type="dxa"/>
            <w:vAlign w:val="center"/>
          </w:tcPr>
          <w:p w14:paraId="79D85B8D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ASM: integrovaný modul na 24 mesiacov, min. 1 000 aktív; podpora a aktualizácie</w:t>
            </w:r>
          </w:p>
        </w:tc>
        <w:tc>
          <w:tcPr>
            <w:tcW w:w="850" w:type="dxa"/>
            <w:vAlign w:val="center"/>
          </w:tcPr>
          <w:p w14:paraId="7C3D3298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kpl.</w:t>
            </w:r>
          </w:p>
        </w:tc>
        <w:tc>
          <w:tcPr>
            <w:tcW w:w="850" w:type="dxa"/>
            <w:vAlign w:val="center"/>
          </w:tcPr>
          <w:p w14:paraId="52CAF385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1</w:t>
            </w:r>
          </w:p>
        </w:tc>
        <w:tc>
          <w:tcPr>
            <w:tcW w:w="1644" w:type="dxa"/>
            <w:vAlign w:val="center"/>
          </w:tcPr>
          <w:p w14:paraId="4EED0A5C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[cena]</w:t>
            </w:r>
          </w:p>
        </w:tc>
        <w:tc>
          <w:tcPr>
            <w:tcW w:w="1474" w:type="dxa"/>
            <w:vAlign w:val="center"/>
          </w:tcPr>
          <w:p w14:paraId="76B34B7A" w14:textId="50B91415" w:rsidR="005A0863" w:rsidRPr="00273E45" w:rsidRDefault="001A13DE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 spolu]</w:t>
            </w:r>
          </w:p>
        </w:tc>
      </w:tr>
      <w:tr w:rsidR="005A0863" w:rsidRPr="00273E45" w14:paraId="2829195F" w14:textId="77777777">
        <w:trPr>
          <w:jc w:val="center"/>
        </w:trPr>
        <w:tc>
          <w:tcPr>
            <w:tcW w:w="369" w:type="dxa"/>
            <w:vAlign w:val="center"/>
          </w:tcPr>
          <w:p w14:paraId="1F89BA7B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4.</w:t>
            </w:r>
          </w:p>
        </w:tc>
        <w:tc>
          <w:tcPr>
            <w:tcW w:w="3742" w:type="dxa"/>
            <w:vAlign w:val="center"/>
          </w:tcPr>
          <w:p w14:paraId="01C3CE9D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Implementácia, integrácia, konfigurácia, školenie, dokumentácia a reporty</w:t>
            </w:r>
          </w:p>
        </w:tc>
        <w:tc>
          <w:tcPr>
            <w:tcW w:w="850" w:type="dxa"/>
            <w:vAlign w:val="center"/>
          </w:tcPr>
          <w:p w14:paraId="4FDA0CEA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kpl.</w:t>
            </w:r>
          </w:p>
        </w:tc>
        <w:tc>
          <w:tcPr>
            <w:tcW w:w="850" w:type="dxa"/>
            <w:vAlign w:val="center"/>
          </w:tcPr>
          <w:p w14:paraId="7B2E4978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1</w:t>
            </w:r>
          </w:p>
        </w:tc>
        <w:tc>
          <w:tcPr>
            <w:tcW w:w="1644" w:type="dxa"/>
            <w:vAlign w:val="center"/>
          </w:tcPr>
          <w:p w14:paraId="39C576FB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[cena]</w:t>
            </w:r>
          </w:p>
        </w:tc>
        <w:tc>
          <w:tcPr>
            <w:tcW w:w="1474" w:type="dxa"/>
            <w:vAlign w:val="center"/>
          </w:tcPr>
          <w:p w14:paraId="677254B9" w14:textId="40532A79" w:rsidR="005A0863" w:rsidRPr="00273E45" w:rsidRDefault="001A13DE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 spolu]</w:t>
            </w:r>
          </w:p>
        </w:tc>
      </w:tr>
      <w:tr w:rsidR="005A0863" w:rsidRPr="00273E45" w14:paraId="5F9E0635" w14:textId="77777777">
        <w:trPr>
          <w:jc w:val="center"/>
        </w:trPr>
        <w:tc>
          <w:tcPr>
            <w:tcW w:w="369" w:type="dxa"/>
            <w:vAlign w:val="center"/>
          </w:tcPr>
          <w:p w14:paraId="4BBF1506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5.</w:t>
            </w:r>
          </w:p>
        </w:tc>
        <w:tc>
          <w:tcPr>
            <w:tcW w:w="3742" w:type="dxa"/>
            <w:vAlign w:val="center"/>
          </w:tcPr>
          <w:p w14:paraId="7C9653E7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Postimplementačná odborná podpora a Helpdesk počas 24 mesiacov</w:t>
            </w:r>
          </w:p>
        </w:tc>
        <w:tc>
          <w:tcPr>
            <w:tcW w:w="850" w:type="dxa"/>
            <w:vAlign w:val="center"/>
          </w:tcPr>
          <w:p w14:paraId="2E1DC51F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človekodeň</w:t>
            </w:r>
          </w:p>
        </w:tc>
        <w:tc>
          <w:tcPr>
            <w:tcW w:w="850" w:type="dxa"/>
            <w:vAlign w:val="center"/>
          </w:tcPr>
          <w:p w14:paraId="47200802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20</w:t>
            </w:r>
          </w:p>
        </w:tc>
        <w:tc>
          <w:tcPr>
            <w:tcW w:w="1644" w:type="dxa"/>
            <w:vAlign w:val="center"/>
          </w:tcPr>
          <w:p w14:paraId="32E01516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[cena]</w:t>
            </w:r>
          </w:p>
        </w:tc>
        <w:tc>
          <w:tcPr>
            <w:tcW w:w="1474" w:type="dxa"/>
            <w:vAlign w:val="center"/>
          </w:tcPr>
          <w:p w14:paraId="5995B718" w14:textId="4CD14336" w:rsidR="005A0863" w:rsidRPr="00273E45" w:rsidRDefault="001A13DE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[cena spolu]</w:t>
            </w:r>
          </w:p>
        </w:tc>
      </w:tr>
      <w:tr w:rsidR="005A0863" w:rsidRPr="00273E45" w14:paraId="13D906D7" w14:textId="77777777">
        <w:trPr>
          <w:jc w:val="center"/>
        </w:trPr>
        <w:tc>
          <w:tcPr>
            <w:tcW w:w="369" w:type="dxa"/>
            <w:vAlign w:val="center"/>
          </w:tcPr>
          <w:p w14:paraId="4C610E13" w14:textId="77777777" w:rsidR="005A0863" w:rsidRPr="00273E45" w:rsidRDefault="005A0863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  <w:tc>
          <w:tcPr>
            <w:tcW w:w="3742" w:type="dxa"/>
            <w:vAlign w:val="center"/>
          </w:tcPr>
          <w:p w14:paraId="4265BB2E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CELKOVÁ VYHODNOCOVACIA CENA</w:t>
            </w:r>
          </w:p>
        </w:tc>
        <w:tc>
          <w:tcPr>
            <w:tcW w:w="850" w:type="dxa"/>
            <w:vAlign w:val="center"/>
          </w:tcPr>
          <w:p w14:paraId="53CAAA1A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—</w:t>
            </w:r>
          </w:p>
        </w:tc>
        <w:tc>
          <w:tcPr>
            <w:tcW w:w="850" w:type="dxa"/>
            <w:vAlign w:val="center"/>
          </w:tcPr>
          <w:p w14:paraId="20EC91D9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—</w:t>
            </w:r>
          </w:p>
        </w:tc>
        <w:tc>
          <w:tcPr>
            <w:tcW w:w="1644" w:type="dxa"/>
            <w:vAlign w:val="center"/>
          </w:tcPr>
          <w:p w14:paraId="2EA3E29D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273E45">
              <w:rPr>
                <w:rFonts w:ascii="Garamond" w:hAnsi="Garamond"/>
                <w:szCs w:val="20"/>
              </w:rPr>
              <w:t>—</w:t>
            </w:r>
          </w:p>
        </w:tc>
        <w:tc>
          <w:tcPr>
            <w:tcW w:w="1474" w:type="dxa"/>
            <w:vAlign w:val="center"/>
          </w:tcPr>
          <w:p w14:paraId="60395E06" w14:textId="77777777" w:rsidR="005A0863" w:rsidRPr="00273E45" w:rsidRDefault="00273E45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A13DE">
              <w:rPr>
                <w:rFonts w:ascii="Garamond" w:hAnsi="Garamond"/>
                <w:szCs w:val="20"/>
                <w:highlight w:val="yellow"/>
              </w:rPr>
              <w:t>[SÚČET]</w:t>
            </w:r>
          </w:p>
        </w:tc>
      </w:tr>
    </w:tbl>
    <w:p w14:paraId="07E826D9" w14:textId="77777777" w:rsidR="005A0863" w:rsidRPr="00273E45" w:rsidRDefault="005A0863">
      <w:pPr>
        <w:spacing w:after="20"/>
        <w:jc w:val="both"/>
        <w:rPr>
          <w:rFonts w:ascii="Garamond" w:hAnsi="Garamond"/>
          <w:szCs w:val="20"/>
        </w:rPr>
      </w:pPr>
    </w:p>
    <w:p w14:paraId="702703E8" w14:textId="77777777" w:rsidR="005A0863" w:rsidRPr="00273E45" w:rsidRDefault="00273E45">
      <w:pPr>
        <w:spacing w:after="8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b/>
          <w:szCs w:val="20"/>
        </w:rPr>
        <w:t>Výpočet: celková vyhodnocovacia cena = C1 + C2 + C3 + C4 + (20 × J5), kde C1 až C4 sú súhrnné ceny položiek 1 – 4 a J5 je jednotková cena za jeden človekodeň podpory. Súčet musí zodpovedať Prílohe č. 3 a Prílohe č. 7.</w:t>
      </w:r>
    </w:p>
    <w:p w14:paraId="23CDDA83" w14:textId="77777777" w:rsidR="005A0863" w:rsidRPr="00273E45" w:rsidRDefault="00273E45">
      <w:pPr>
        <w:spacing w:after="80"/>
        <w:jc w:val="both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Položky č. 1 – 3 predstavujú predplatné na celé 24-mesačné obdobie pre uvedený minimálny počet aktív; predpokladá sa jedna súhrnná cena za každú z týchto položiek, nie cena za jeden mesiac alebo jedno aktívum. Náklady nesmú byť započítané duplicitne.</w:t>
      </w:r>
    </w:p>
    <w:p w14:paraId="2B44978D" w14:textId="77777777" w:rsidR="005A0863" w:rsidRDefault="00273E45">
      <w:pPr>
        <w:spacing w:before="220"/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Ponúkané riešenie (výrobca, produkt, edícia, verzia): ................................................................................</w:t>
      </w:r>
    </w:p>
    <w:p w14:paraId="76516453" w14:textId="77777777" w:rsidR="00273E45" w:rsidRPr="00273E45" w:rsidRDefault="00273E45">
      <w:pPr>
        <w:spacing w:before="220"/>
        <w:rPr>
          <w:rFonts w:ascii="Garamond" w:hAnsi="Garamond"/>
          <w:szCs w:val="20"/>
        </w:rPr>
      </w:pPr>
    </w:p>
    <w:p w14:paraId="0176CC66" w14:textId="77777777" w:rsidR="005A0863" w:rsidRDefault="00273E45">
      <w:pPr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Technické podklady preukazujúce požadované funkcionality / odkazy: ...........................................................</w:t>
      </w:r>
    </w:p>
    <w:p w14:paraId="07513D69" w14:textId="77777777" w:rsidR="00273E45" w:rsidRDefault="00273E45">
      <w:pPr>
        <w:rPr>
          <w:rFonts w:ascii="Garamond" w:hAnsi="Garamond"/>
          <w:szCs w:val="20"/>
        </w:rPr>
      </w:pPr>
    </w:p>
    <w:p w14:paraId="691279F1" w14:textId="77777777" w:rsidR="00273E45" w:rsidRDefault="00273E45">
      <w:pPr>
        <w:rPr>
          <w:rFonts w:ascii="Garamond" w:hAnsi="Garamond"/>
          <w:szCs w:val="20"/>
        </w:rPr>
      </w:pPr>
    </w:p>
    <w:p w14:paraId="53436257" w14:textId="77777777" w:rsidR="00273E45" w:rsidRPr="00273E45" w:rsidRDefault="00273E45">
      <w:pPr>
        <w:rPr>
          <w:rFonts w:ascii="Garamond" w:hAnsi="Garamond"/>
          <w:szCs w:val="20"/>
        </w:rPr>
      </w:pPr>
    </w:p>
    <w:p w14:paraId="458C262B" w14:textId="4180833B" w:rsidR="005A0863" w:rsidRDefault="00273E45">
      <w:pPr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 xml:space="preserve">V </w:t>
      </w:r>
      <w:r>
        <w:rPr>
          <w:rFonts w:ascii="Garamond" w:hAnsi="Garamond"/>
          <w:szCs w:val="20"/>
        </w:rPr>
        <w:t xml:space="preserve">                                                 </w:t>
      </w:r>
      <w:r w:rsidRPr="00273E45">
        <w:rPr>
          <w:rFonts w:ascii="Garamond" w:hAnsi="Garamond"/>
          <w:szCs w:val="20"/>
        </w:rPr>
        <w:t xml:space="preserve">dňa </w:t>
      </w:r>
    </w:p>
    <w:p w14:paraId="33A4C09B" w14:textId="77777777" w:rsidR="00273E45" w:rsidRDefault="00273E45">
      <w:pPr>
        <w:rPr>
          <w:rFonts w:ascii="Garamond" w:hAnsi="Garamond"/>
          <w:szCs w:val="20"/>
        </w:rPr>
      </w:pPr>
    </w:p>
    <w:p w14:paraId="40ECFFB8" w14:textId="77777777" w:rsidR="00273E45" w:rsidRDefault="00273E45">
      <w:pPr>
        <w:rPr>
          <w:rFonts w:ascii="Garamond" w:hAnsi="Garamond"/>
          <w:szCs w:val="20"/>
        </w:rPr>
      </w:pPr>
    </w:p>
    <w:p w14:paraId="2AE6E42F" w14:textId="77777777" w:rsidR="00273E45" w:rsidRPr="00273E45" w:rsidRDefault="00273E45">
      <w:pPr>
        <w:rPr>
          <w:rFonts w:ascii="Garamond" w:hAnsi="Garamond"/>
          <w:szCs w:val="20"/>
        </w:rPr>
      </w:pPr>
    </w:p>
    <w:p w14:paraId="2CA1138B" w14:textId="77777777" w:rsidR="005A0863" w:rsidRPr="00273E45" w:rsidRDefault="00273E45">
      <w:pPr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_________________________________________</w:t>
      </w:r>
    </w:p>
    <w:p w14:paraId="3A778B38" w14:textId="77777777" w:rsidR="005A0863" w:rsidRPr="00273E45" w:rsidRDefault="00273E45">
      <w:pPr>
        <w:rPr>
          <w:rFonts w:ascii="Garamond" w:hAnsi="Garamond"/>
          <w:szCs w:val="20"/>
        </w:rPr>
      </w:pPr>
      <w:r w:rsidRPr="00273E45">
        <w:rPr>
          <w:rFonts w:ascii="Garamond" w:hAnsi="Garamond"/>
          <w:szCs w:val="20"/>
        </w:rPr>
        <w:t>Obchodné meno uchádzača, meno, funkcia a podpis oprávnenej osoby</w:t>
      </w:r>
    </w:p>
    <w:sectPr w:rsidR="005A0863" w:rsidRPr="00273E45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6C5CA" w14:textId="77777777" w:rsidR="00355AF5" w:rsidRDefault="00355AF5" w:rsidP="00FC69EE">
      <w:r>
        <w:separator/>
      </w:r>
    </w:p>
  </w:endnote>
  <w:endnote w:type="continuationSeparator" w:id="0">
    <w:p w14:paraId="1D3C8FDB" w14:textId="77777777" w:rsidR="00355AF5" w:rsidRDefault="00355AF5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B467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0E109065" wp14:editId="2C803BF9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2625" w14:textId="77777777" w:rsidR="00355AF5" w:rsidRDefault="00355AF5" w:rsidP="00FC69EE">
      <w:r>
        <w:separator/>
      </w:r>
    </w:p>
  </w:footnote>
  <w:footnote w:type="continuationSeparator" w:id="0">
    <w:p w14:paraId="540CE283" w14:textId="77777777" w:rsidR="00355AF5" w:rsidRDefault="00355AF5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30D61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5C73CD61" wp14:editId="619AE358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F93"/>
    <w:multiLevelType w:val="multilevel"/>
    <w:tmpl w:val="57DC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056425"/>
    <w:multiLevelType w:val="hybridMultilevel"/>
    <w:tmpl w:val="3438C8FA"/>
    <w:lvl w:ilvl="0" w:tplc="FD5698A0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C35"/>
    <w:multiLevelType w:val="hybridMultilevel"/>
    <w:tmpl w:val="276E1B82"/>
    <w:lvl w:ilvl="0" w:tplc="041B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617DE"/>
    <w:multiLevelType w:val="hybridMultilevel"/>
    <w:tmpl w:val="F1F024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62D6C"/>
    <w:multiLevelType w:val="hybridMultilevel"/>
    <w:tmpl w:val="87C2B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B598E"/>
    <w:multiLevelType w:val="hybridMultilevel"/>
    <w:tmpl w:val="AAE82F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22549"/>
    <w:multiLevelType w:val="hybridMultilevel"/>
    <w:tmpl w:val="A35C6954"/>
    <w:lvl w:ilvl="0" w:tplc="FD5698A0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022F5"/>
    <w:multiLevelType w:val="hybridMultilevel"/>
    <w:tmpl w:val="6364665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E6D087C"/>
    <w:multiLevelType w:val="hybridMultilevel"/>
    <w:tmpl w:val="D2C0A0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22564">
    <w:abstractNumId w:val="3"/>
  </w:num>
  <w:num w:numId="2" w16cid:durableId="763843623">
    <w:abstractNumId w:val="4"/>
  </w:num>
  <w:num w:numId="3" w16cid:durableId="254174573">
    <w:abstractNumId w:val="6"/>
  </w:num>
  <w:num w:numId="4" w16cid:durableId="1671525623">
    <w:abstractNumId w:val="1"/>
  </w:num>
  <w:num w:numId="5" w16cid:durableId="500194768">
    <w:abstractNumId w:val="8"/>
  </w:num>
  <w:num w:numId="6" w16cid:durableId="27411663">
    <w:abstractNumId w:val="2"/>
  </w:num>
  <w:num w:numId="7" w16cid:durableId="1922986597">
    <w:abstractNumId w:val="5"/>
  </w:num>
  <w:num w:numId="8" w16cid:durableId="1923443156">
    <w:abstractNumId w:val="7"/>
  </w:num>
  <w:num w:numId="9" w16cid:durableId="626274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068C3"/>
    <w:rsid w:val="000230C2"/>
    <w:rsid w:val="00023868"/>
    <w:rsid w:val="00034DA7"/>
    <w:rsid w:val="00064C22"/>
    <w:rsid w:val="00072934"/>
    <w:rsid w:val="00080F66"/>
    <w:rsid w:val="00083A19"/>
    <w:rsid w:val="00096736"/>
    <w:rsid w:val="000B2609"/>
    <w:rsid w:val="000B76F8"/>
    <w:rsid w:val="000C0A7A"/>
    <w:rsid w:val="000C6053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A13DE"/>
    <w:rsid w:val="001F1ECB"/>
    <w:rsid w:val="00233783"/>
    <w:rsid w:val="00241070"/>
    <w:rsid w:val="00241F8F"/>
    <w:rsid w:val="00257105"/>
    <w:rsid w:val="002605D5"/>
    <w:rsid w:val="002661E2"/>
    <w:rsid w:val="0026665D"/>
    <w:rsid w:val="00273E45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55AF5"/>
    <w:rsid w:val="003802FA"/>
    <w:rsid w:val="00385509"/>
    <w:rsid w:val="00395162"/>
    <w:rsid w:val="003A6F85"/>
    <w:rsid w:val="00401BE9"/>
    <w:rsid w:val="004418F6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A0863"/>
    <w:rsid w:val="005B23F4"/>
    <w:rsid w:val="005C2029"/>
    <w:rsid w:val="005C6025"/>
    <w:rsid w:val="005D1686"/>
    <w:rsid w:val="005F2773"/>
    <w:rsid w:val="00601065"/>
    <w:rsid w:val="00604938"/>
    <w:rsid w:val="00607628"/>
    <w:rsid w:val="0061548C"/>
    <w:rsid w:val="00620225"/>
    <w:rsid w:val="006536BA"/>
    <w:rsid w:val="00653C75"/>
    <w:rsid w:val="0067207F"/>
    <w:rsid w:val="00672149"/>
    <w:rsid w:val="006866D6"/>
    <w:rsid w:val="00690C5D"/>
    <w:rsid w:val="0069594D"/>
    <w:rsid w:val="006A1F9B"/>
    <w:rsid w:val="006B17FB"/>
    <w:rsid w:val="006B769E"/>
    <w:rsid w:val="006C33CE"/>
    <w:rsid w:val="007028A9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16951"/>
    <w:rsid w:val="00820918"/>
    <w:rsid w:val="008269EB"/>
    <w:rsid w:val="008279E5"/>
    <w:rsid w:val="00887917"/>
    <w:rsid w:val="008924C7"/>
    <w:rsid w:val="00894B96"/>
    <w:rsid w:val="00895CFA"/>
    <w:rsid w:val="00897FB8"/>
    <w:rsid w:val="008A5EED"/>
    <w:rsid w:val="008D10BE"/>
    <w:rsid w:val="008D7EFE"/>
    <w:rsid w:val="008D7F84"/>
    <w:rsid w:val="008F6EC7"/>
    <w:rsid w:val="0090156F"/>
    <w:rsid w:val="009143B4"/>
    <w:rsid w:val="00923AA6"/>
    <w:rsid w:val="0095210B"/>
    <w:rsid w:val="00960121"/>
    <w:rsid w:val="00961208"/>
    <w:rsid w:val="00963B15"/>
    <w:rsid w:val="0097146F"/>
    <w:rsid w:val="0097788C"/>
    <w:rsid w:val="009B2C54"/>
    <w:rsid w:val="009D42AC"/>
    <w:rsid w:val="00A23379"/>
    <w:rsid w:val="00A4057A"/>
    <w:rsid w:val="00A540DD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BF5918"/>
    <w:rsid w:val="00C24C37"/>
    <w:rsid w:val="00C44C62"/>
    <w:rsid w:val="00C720BC"/>
    <w:rsid w:val="00CB6617"/>
    <w:rsid w:val="00CB68EA"/>
    <w:rsid w:val="00D1313C"/>
    <w:rsid w:val="00D31A2A"/>
    <w:rsid w:val="00D43A44"/>
    <w:rsid w:val="00D50D88"/>
    <w:rsid w:val="00D63980"/>
    <w:rsid w:val="00D67F49"/>
    <w:rsid w:val="00D81B59"/>
    <w:rsid w:val="00D82EE7"/>
    <w:rsid w:val="00D836EE"/>
    <w:rsid w:val="00D90876"/>
    <w:rsid w:val="00D93043"/>
    <w:rsid w:val="00D94442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BDD"/>
    <w:rsid w:val="00E82CE8"/>
    <w:rsid w:val="00E8449B"/>
    <w:rsid w:val="00EC2C8A"/>
    <w:rsid w:val="00ED7A9F"/>
    <w:rsid w:val="00EF2084"/>
    <w:rsid w:val="00F238E4"/>
    <w:rsid w:val="00F24FC8"/>
    <w:rsid w:val="00F57DBF"/>
    <w:rsid w:val="00F763AA"/>
    <w:rsid w:val="00F97E2B"/>
    <w:rsid w:val="00FA1932"/>
    <w:rsid w:val="00FC69EE"/>
    <w:rsid w:val="00FD71C7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FA1D2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57" w:lineRule="auto"/>
    </w:pPr>
    <w:rPr>
      <w:rFonts w:ascii="Times New Roman" w:hAnsi="Times New Roman"/>
      <w:sz w:val="20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</w:style>
  <w:style w:type="paragraph" w:styleId="Normlnywebov">
    <w:name w:val="Normal (Web)"/>
    <w:basedOn w:val="Normlny"/>
    <w:uiPriority w:val="99"/>
    <w:semiHidden/>
    <w:unhideWhenUsed/>
    <w:rsid w:val="007028A9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2375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6</cp:revision>
  <cp:lastPrinted>2026-06-02T09:07:00Z</cp:lastPrinted>
  <dcterms:created xsi:type="dcterms:W3CDTF">2026-10-07T13:22:00Z</dcterms:created>
  <dcterms:modified xsi:type="dcterms:W3CDTF">2026-11-02T21:09:00Z</dcterms:modified>
</cp:coreProperties>
</file>