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77777777"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........../OMRaPZ/2020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002D08E7" w14:textId="77777777" w:rsidR="00D550EF" w:rsidRPr="00BA03AF" w:rsidRDefault="00D550EF" w:rsidP="00D550EF">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Pr>
          <w:rFonts w:ascii="Arial Narrow" w:hAnsi="Arial Narrow"/>
          <w:sz w:val="22"/>
          <w:szCs w:val="22"/>
        </w:rPr>
        <w:t xml:space="preserve">Ing. Ján Rudolf, PhD. </w:t>
      </w:r>
    </w:p>
    <w:p w14:paraId="79B69917" w14:textId="126ECE9E" w:rsidR="00C96EDF" w:rsidRPr="00BA03AF" w:rsidRDefault="00D550EF" w:rsidP="00C96EDF">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t>predseda</w:t>
      </w:r>
      <w:bookmarkStart w:id="0" w:name="_GoBack"/>
      <w:bookmarkEnd w:id="0"/>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67C09697" w14:textId="77777777" w:rsidR="00C96EDF" w:rsidRPr="00BA03AF" w:rsidRDefault="00C96EDF" w:rsidP="00C96EDF">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625E02BC" w14:textId="77777777" w:rsidR="00C96EDF" w:rsidRPr="00BA03AF" w:rsidRDefault="00C96EDF" w:rsidP="00C96EDF">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4B9BC501" w14:textId="77777777" w:rsidR="00C96EDF" w:rsidRPr="00BA03AF" w:rsidRDefault="00C96EDF" w:rsidP="00C96EDF">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5CEF4E91" w:rsidR="00C96EDF" w:rsidRDefault="00C96EDF" w:rsidP="00C96EDF">
      <w:pPr>
        <w:spacing w:after="240"/>
        <w:jc w:val="both"/>
        <w:rPr>
          <w:rFonts w:ascii="Arial Narrow" w:hAnsi="Arial Narrow"/>
          <w:sz w:val="22"/>
          <w:szCs w:val="22"/>
        </w:rPr>
      </w:pPr>
    </w:p>
    <w:p w14:paraId="63A6014B" w14:textId="77777777" w:rsidR="001777E2" w:rsidRPr="00BA03AF" w:rsidRDefault="001777E2"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7DFEC766" w:rsidR="00C96EDF" w:rsidRPr="00BA03AF" w:rsidRDefault="00593A73" w:rsidP="00593A73">
            <w:pPr>
              <w:rPr>
                <w:rFonts w:ascii="Arial Narrow" w:hAnsi="Arial Narrow"/>
                <w:color w:val="000000"/>
                <w:sz w:val="22"/>
                <w:szCs w:val="22"/>
                <w:lang w:eastAsia="sk-SK"/>
              </w:rPr>
            </w:pPr>
            <w:r>
              <w:rPr>
                <w:rFonts w:ascii="Arial Narrow" w:hAnsi="Arial Narrow"/>
                <w:color w:val="000000"/>
                <w:sz w:val="22"/>
                <w:szCs w:val="22"/>
                <w:lang w:eastAsia="sk-SK"/>
              </w:rPr>
              <w:t>Jednorazové</w:t>
            </w:r>
            <w:r w:rsidR="003D39F5">
              <w:rPr>
                <w:rFonts w:ascii="Arial Narrow" w:hAnsi="Arial Narrow"/>
                <w:color w:val="000000"/>
                <w:sz w:val="22"/>
                <w:szCs w:val="22"/>
                <w:lang w:eastAsia="sk-SK"/>
              </w:rPr>
              <w:t xml:space="preserve"> </w:t>
            </w:r>
            <w:proofErr w:type="spellStart"/>
            <w:r w:rsidR="003D39F5">
              <w:rPr>
                <w:rFonts w:ascii="Arial Narrow" w:hAnsi="Arial Narrow"/>
                <w:color w:val="000000"/>
                <w:sz w:val="22"/>
                <w:szCs w:val="22"/>
                <w:lang w:eastAsia="sk-SK"/>
              </w:rPr>
              <w:t>nitrilové</w:t>
            </w:r>
            <w:proofErr w:type="spellEnd"/>
            <w:r>
              <w:rPr>
                <w:rFonts w:ascii="Arial Narrow" w:hAnsi="Arial Narrow"/>
                <w:color w:val="000000"/>
                <w:sz w:val="22"/>
                <w:szCs w:val="22"/>
                <w:lang w:eastAsia="sk-SK"/>
              </w:rPr>
              <w:t xml:space="preserve"> rukavice</w:t>
            </w:r>
            <w:r>
              <w:rPr>
                <w:rFonts w:ascii="Arial Narrow" w:hAnsi="Arial Narrow"/>
                <w:color w:val="000000"/>
                <w:sz w:val="22"/>
                <w:szCs w:val="22"/>
                <w:lang w:eastAsia="sk-SK"/>
              </w:rPr>
              <w:br/>
              <w:t xml:space="preserve">pre všeobecné použitie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0B262BDC" w:rsidR="00C96EDF" w:rsidRPr="00BA03AF" w:rsidRDefault="00076666" w:rsidP="00E91A73">
            <w:pPr>
              <w:jc w:val="right"/>
              <w:rPr>
                <w:rFonts w:ascii="Arial Narrow" w:hAnsi="Arial Narrow" w:cs="Calibri"/>
                <w:color w:val="000000"/>
                <w:sz w:val="22"/>
                <w:szCs w:val="22"/>
              </w:rPr>
            </w:pPr>
            <w:r>
              <w:rPr>
                <w:rFonts w:ascii="Arial Narrow" w:hAnsi="Arial Narrow" w:cs="Calibri"/>
                <w:color w:val="000000"/>
                <w:sz w:val="22"/>
                <w:szCs w:val="22"/>
              </w:rPr>
              <w:t>5</w:t>
            </w:r>
            <w:r w:rsidR="00593A73">
              <w:rPr>
                <w:rFonts w:ascii="Arial Narrow" w:hAnsi="Arial Narrow" w:cs="Calibri"/>
                <w:color w:val="000000"/>
                <w:sz w:val="22"/>
                <w:szCs w:val="22"/>
              </w:rPr>
              <w:t xml:space="preserve"> 0</w:t>
            </w:r>
            <w:r w:rsidR="002368C3">
              <w:rPr>
                <w:rFonts w:ascii="Arial Narrow" w:hAnsi="Arial Narrow" w:cs="Calibri"/>
                <w:color w:val="000000"/>
                <w:sz w:val="22"/>
                <w:szCs w:val="22"/>
              </w:rPr>
              <w:t>0</w:t>
            </w:r>
            <w:r w:rsidR="00AF2B51">
              <w:rPr>
                <w:rFonts w:ascii="Arial Narrow" w:hAnsi="Arial Narrow" w:cs="Calibri"/>
                <w:color w:val="000000"/>
                <w:sz w:val="22"/>
                <w:szCs w:val="22"/>
              </w:rPr>
              <w:t>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77777777"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4C59C727" w:rsidR="00C96EDF" w:rsidRPr="00795C7A" w:rsidRDefault="00C96EDF" w:rsidP="00795C7A">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č.2</w:t>
      </w:r>
      <w:r w:rsidR="00795C7A">
        <w:rPr>
          <w:rFonts w:ascii="Arial Narrow" w:eastAsia="Calibri" w:hAnsi="Arial Narrow" w:cs="Times New Roman"/>
          <w:sz w:val="22"/>
          <w:szCs w:val="22"/>
          <w:lang w:eastAsia="en-US"/>
        </w:rPr>
        <w:br/>
      </w:r>
      <w:r w:rsidRPr="00795C7A">
        <w:rPr>
          <w:rFonts w:ascii="Arial Narrow" w:eastAsia="Calibri" w:hAnsi="Arial Narrow" w:cs="Times New Roman"/>
          <w:sz w:val="22"/>
          <w:szCs w:val="22"/>
          <w:lang w:eastAsia="en-US"/>
        </w:rPr>
        <w:t>- Fotografie (ďalej len „Príloha č.2“), ktoré tvoria inte</w:t>
      </w:r>
      <w:r w:rsidR="00952ACA" w:rsidRPr="00795C7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75148120"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sidR="00795C7A">
        <w:rPr>
          <w:rFonts w:ascii="Arial Narrow" w:eastAsia="Times" w:hAnsi="Arial Narrow"/>
          <w:sz w:val="22"/>
          <w:szCs w:val="22"/>
        </w:rPr>
        <w:t xml:space="preserve">Tovaru v množstve podľa bodu 2.1. Zmluvy </w:t>
      </w:r>
      <w:r w:rsidR="00795C7A" w:rsidRPr="00BA03AF">
        <w:rPr>
          <w:rFonts w:ascii="Arial Narrow" w:eastAsia="Times" w:hAnsi="Arial Narrow"/>
          <w:sz w:val="22"/>
          <w:szCs w:val="22"/>
        </w:rPr>
        <w:t xml:space="preserve">a podpísaní preberacieho protokolu </w:t>
      </w:r>
      <w:r w:rsidR="00795C7A">
        <w:rPr>
          <w:rFonts w:ascii="Arial Narrow" w:eastAsia="Times" w:hAnsi="Arial Narrow"/>
          <w:sz w:val="22"/>
          <w:szCs w:val="22"/>
        </w:rPr>
        <w:t xml:space="preserve">resp. preberacích protokolov </w:t>
      </w:r>
      <w:r w:rsidR="00795C7A" w:rsidRPr="00BA03AF">
        <w:rPr>
          <w:rFonts w:ascii="Arial Narrow" w:eastAsia="Times" w:hAnsi="Arial Narrow"/>
          <w:sz w:val="22"/>
          <w:szCs w:val="22"/>
        </w:rPr>
        <w:t xml:space="preserve">s vyznačením riadneho dodania Predmetu zmluvy. </w:t>
      </w:r>
    </w:p>
    <w:p w14:paraId="419831BA"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13BDA3CE" w:rsidR="00C96EDF" w:rsidRPr="00795C7A" w:rsidRDefault="00C96EDF" w:rsidP="00795C7A">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w:t>
      </w:r>
      <w:r w:rsidR="00795C7A">
        <w:rPr>
          <w:rFonts w:ascii="Arial Narrow" w:eastAsia="Times" w:hAnsi="Arial Narrow"/>
          <w:sz w:val="22"/>
          <w:szCs w:val="22"/>
        </w:rPr>
        <w:t>u vo forme doporučenej zásielky alebo odovzdaním osobne do podateľne Kupujúceho</w:t>
      </w:r>
      <w:r w:rsidR="00795C7A"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285FA526" w14:textId="050BE64F" w:rsidR="00952ACA" w:rsidRPr="00033285" w:rsidRDefault="00C96EDF" w:rsidP="00DD4983">
      <w:pPr>
        <w:pStyle w:val="Odsekzoznamu"/>
        <w:numPr>
          <w:ilvl w:val="0"/>
          <w:numId w:val="29"/>
        </w:numPr>
        <w:tabs>
          <w:tab w:val="left" w:pos="300"/>
        </w:tabs>
        <w:spacing w:before="60" w:after="240" w:line="360" w:lineRule="auto"/>
        <w:ind w:left="567" w:hanging="567"/>
        <w:jc w:val="both"/>
        <w:rPr>
          <w:rFonts w:ascii="Arial Narrow" w:hAnsi="Arial Narrow"/>
          <w:sz w:val="22"/>
          <w:szCs w:val="22"/>
        </w:rPr>
      </w:pPr>
      <w:r w:rsidRPr="00033285">
        <w:rPr>
          <w:rFonts w:ascii="Arial Narrow" w:eastAsia="Times" w:hAnsi="Arial Narrow"/>
          <w:sz w:val="22"/>
          <w:szCs w:val="22"/>
        </w:rPr>
        <w:t xml:space="preserve">Lehota dodania Predmetu zmluvy je stanovená dohodou Zmluvných strán </w:t>
      </w:r>
      <w:r w:rsidR="00952ACA" w:rsidRPr="00033285">
        <w:rPr>
          <w:rFonts w:ascii="Arial Narrow" w:hAnsi="Arial Narrow"/>
          <w:sz w:val="22"/>
          <w:szCs w:val="22"/>
        </w:rPr>
        <w:t>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952ACA" w14:paraId="030423C3" w14:textId="77777777" w:rsidTr="001749E4">
        <w:tc>
          <w:tcPr>
            <w:tcW w:w="566" w:type="dxa"/>
          </w:tcPr>
          <w:p w14:paraId="784F6304"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P. č.</w:t>
            </w:r>
          </w:p>
        </w:tc>
        <w:tc>
          <w:tcPr>
            <w:tcW w:w="2698" w:type="dxa"/>
          </w:tcPr>
          <w:p w14:paraId="189683D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671" w:type="dxa"/>
          </w:tcPr>
          <w:p w14:paraId="614CC4D1" w14:textId="77777777" w:rsidR="00952ACA" w:rsidRDefault="00952ACA" w:rsidP="00C760B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354" w:type="dxa"/>
          </w:tcPr>
          <w:p w14:paraId="59276D7A"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Pr>
          <w:p w14:paraId="589FBC35"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952ACA" w14:paraId="318EEDFD" w14:textId="77777777" w:rsidTr="00DB1833">
        <w:tc>
          <w:tcPr>
            <w:tcW w:w="566" w:type="dxa"/>
            <w:vAlign w:val="center"/>
          </w:tcPr>
          <w:p w14:paraId="2EE852B4" w14:textId="0B6CEBA1" w:rsidR="00952ACA" w:rsidRDefault="00BC655C"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698" w:type="dxa"/>
            <w:vAlign w:val="center"/>
          </w:tcPr>
          <w:p w14:paraId="21B98A93" w14:textId="141A39EF" w:rsidR="00952ACA" w:rsidRDefault="00593A73" w:rsidP="00DB1833">
            <w:pPr>
              <w:pStyle w:val="Odsekzoznamu"/>
              <w:tabs>
                <w:tab w:val="left" w:pos="300"/>
              </w:tabs>
              <w:ind w:left="0"/>
              <w:rPr>
                <w:rFonts w:ascii="Arial Narrow" w:hAnsi="Arial Narrow"/>
                <w:sz w:val="22"/>
                <w:szCs w:val="22"/>
              </w:rPr>
            </w:pPr>
            <w:r>
              <w:rPr>
                <w:rFonts w:ascii="Arial Narrow" w:hAnsi="Arial Narrow"/>
                <w:color w:val="000000"/>
                <w:sz w:val="22"/>
                <w:szCs w:val="22"/>
                <w:lang w:eastAsia="sk-SK"/>
              </w:rPr>
              <w:t xml:space="preserve">Jednorazové </w:t>
            </w:r>
            <w:proofErr w:type="spellStart"/>
            <w:r w:rsidR="003D39F5">
              <w:rPr>
                <w:rFonts w:ascii="Arial Narrow" w:hAnsi="Arial Narrow"/>
                <w:color w:val="000000"/>
                <w:sz w:val="22"/>
                <w:szCs w:val="22"/>
                <w:lang w:eastAsia="sk-SK"/>
              </w:rPr>
              <w:t>nitrilové</w:t>
            </w:r>
            <w:proofErr w:type="spellEnd"/>
            <w:r w:rsidR="003D39F5">
              <w:rPr>
                <w:rFonts w:ascii="Arial Narrow" w:hAnsi="Arial Narrow"/>
                <w:color w:val="000000"/>
                <w:sz w:val="22"/>
                <w:szCs w:val="22"/>
                <w:lang w:eastAsia="sk-SK"/>
              </w:rPr>
              <w:t xml:space="preserve"> </w:t>
            </w:r>
            <w:r>
              <w:rPr>
                <w:rFonts w:ascii="Arial Narrow" w:hAnsi="Arial Narrow"/>
                <w:color w:val="000000"/>
                <w:sz w:val="22"/>
                <w:szCs w:val="22"/>
                <w:lang w:eastAsia="sk-SK"/>
              </w:rPr>
              <w:t xml:space="preserve">rukavice </w:t>
            </w:r>
            <w:r>
              <w:rPr>
                <w:rFonts w:ascii="Arial Narrow" w:hAnsi="Arial Narrow"/>
                <w:color w:val="000000"/>
                <w:sz w:val="22"/>
                <w:szCs w:val="22"/>
                <w:lang w:eastAsia="sk-SK"/>
              </w:rPr>
              <w:br/>
              <w:t>pre všeobecné použitie</w:t>
            </w:r>
          </w:p>
        </w:tc>
        <w:tc>
          <w:tcPr>
            <w:tcW w:w="671" w:type="dxa"/>
            <w:vAlign w:val="center"/>
          </w:tcPr>
          <w:p w14:paraId="6605F24E" w14:textId="7C257162" w:rsidR="00952ACA" w:rsidRDefault="00BC655C"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354" w:type="dxa"/>
            <w:vAlign w:val="center"/>
          </w:tcPr>
          <w:p w14:paraId="0D2D906D" w14:textId="29D26075" w:rsidR="00952ACA" w:rsidRDefault="00952ACA" w:rsidP="00076666">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w:t>
            </w:r>
            <w:r w:rsidR="00076666">
              <w:rPr>
                <w:rFonts w:ascii="Arial Narrow" w:hAnsi="Arial Narrow"/>
                <w:sz w:val="22"/>
                <w:szCs w:val="22"/>
              </w:rPr>
              <w:t>en</w:t>
            </w:r>
            <w:r>
              <w:rPr>
                <w:rFonts w:ascii="Arial Narrow" w:hAnsi="Arial Narrow"/>
                <w:sz w:val="22"/>
                <w:szCs w:val="22"/>
              </w:rPr>
              <w:t xml:space="preserve"> (21) kalendárnych dní</w:t>
            </w:r>
          </w:p>
        </w:tc>
        <w:tc>
          <w:tcPr>
            <w:tcW w:w="1129" w:type="dxa"/>
            <w:vAlign w:val="center"/>
          </w:tcPr>
          <w:p w14:paraId="280A6344" w14:textId="455EC1A4" w:rsidR="00952ACA" w:rsidRDefault="00076666" w:rsidP="0045165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5</w:t>
            </w:r>
            <w:r w:rsidR="00593A73">
              <w:rPr>
                <w:rFonts w:ascii="Arial Narrow" w:hAnsi="Arial Narrow"/>
                <w:sz w:val="22"/>
                <w:szCs w:val="22"/>
              </w:rPr>
              <w:t xml:space="preserve"> 0</w:t>
            </w:r>
            <w:r w:rsidR="00AF171C">
              <w:rPr>
                <w:rFonts w:ascii="Arial Narrow" w:hAnsi="Arial Narrow"/>
                <w:sz w:val="22"/>
                <w:szCs w:val="22"/>
              </w:rPr>
              <w:t>0</w:t>
            </w:r>
            <w:r w:rsidR="00E61F44">
              <w:rPr>
                <w:rFonts w:ascii="Arial Narrow" w:hAnsi="Arial Narrow"/>
                <w:sz w:val="22"/>
                <w:szCs w:val="22"/>
              </w:rPr>
              <w:t>0</w:t>
            </w:r>
            <w:r w:rsidR="00952ACA">
              <w:rPr>
                <w:rFonts w:ascii="Arial Narrow" w:hAnsi="Arial Narrow"/>
                <w:sz w:val="22"/>
                <w:szCs w:val="22"/>
              </w:rPr>
              <w:t xml:space="preserve"> 000</w:t>
            </w:r>
          </w:p>
        </w:tc>
      </w:tr>
      <w:tr w:rsidR="00952ACA" w14:paraId="743FD433" w14:textId="77777777" w:rsidTr="001749E4">
        <w:tc>
          <w:tcPr>
            <w:tcW w:w="7289"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9" w:type="dxa"/>
          </w:tcPr>
          <w:p w14:paraId="507D5C04" w14:textId="712D77E2" w:rsidR="00952ACA" w:rsidRPr="00346220" w:rsidRDefault="00076666" w:rsidP="00C760B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5</w:t>
            </w:r>
            <w:r w:rsidR="00593A73">
              <w:rPr>
                <w:rFonts w:ascii="Arial Narrow" w:hAnsi="Arial Narrow"/>
                <w:b/>
                <w:sz w:val="22"/>
                <w:szCs w:val="22"/>
              </w:rPr>
              <w:t xml:space="preserve"> 0</w:t>
            </w:r>
            <w:r w:rsidR="00AF171C">
              <w:rPr>
                <w:rFonts w:ascii="Arial Narrow" w:hAnsi="Arial Narrow"/>
                <w:b/>
                <w:sz w:val="22"/>
                <w:szCs w:val="22"/>
              </w:rPr>
              <w:t>0</w:t>
            </w:r>
            <w:r w:rsidR="00E61F44">
              <w:rPr>
                <w:rFonts w:ascii="Arial Narrow" w:hAnsi="Arial Narrow"/>
                <w:b/>
                <w:sz w:val="22"/>
                <w:szCs w:val="22"/>
              </w:rPr>
              <w:t>0</w:t>
            </w:r>
            <w:r w:rsidR="00952ACA" w:rsidRPr="00346220">
              <w:rPr>
                <w:rFonts w:ascii="Arial Narrow" w:hAnsi="Arial Narrow"/>
                <w:b/>
                <w:sz w:val="22"/>
                <w:szCs w:val="22"/>
              </w:rPr>
              <w:t xml:space="preserve"> 000</w:t>
            </w:r>
          </w:p>
        </w:tc>
      </w:tr>
    </w:tbl>
    <w:p w14:paraId="06027C1A" w14:textId="79F63A68" w:rsidR="00952ACA" w:rsidRPr="00BA03AF" w:rsidRDefault="00033285" w:rsidP="00DD4983">
      <w:pPr>
        <w:pStyle w:val="Odsekzoznamu"/>
        <w:spacing w:after="240" w:line="276" w:lineRule="auto"/>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1B9575B3"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F122C1" w:rsidRPr="00F122C1">
        <w:rPr>
          <w:rFonts w:ascii="Arial Narrow" w:eastAsia="Times" w:hAnsi="Arial Narrow"/>
          <w:sz w:val="22"/>
          <w:szCs w:val="22"/>
        </w:rPr>
        <w:t>Borovina</w:t>
      </w:r>
      <w:proofErr w:type="spellEnd"/>
      <w:r w:rsidR="00F122C1" w:rsidRPr="00F122C1">
        <w:rPr>
          <w:rFonts w:ascii="Arial Narrow" w:eastAsia="Times" w:hAnsi="Arial Narrow"/>
          <w:sz w:val="22"/>
          <w:szCs w:val="22"/>
        </w:rPr>
        <w:t xml:space="preserve">, Riečna 258, 962 02 Vígľaš </w:t>
      </w:r>
      <w:r w:rsidRPr="00BA03AF">
        <w:rPr>
          <w:rFonts w:ascii="Arial Narrow" w:eastAsia="Times" w:hAnsi="Arial Narrow"/>
          <w:sz w:val="22"/>
          <w:szCs w:val="22"/>
        </w:rPr>
        <w:t xml:space="preserve">(ďalej len „miesto plnenia“). </w:t>
      </w:r>
    </w:p>
    <w:p w14:paraId="1CCF5FF4"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2A1D8D5E"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w:t>
      </w:r>
      <w:r w:rsidR="00795C7A">
        <w:rPr>
          <w:rFonts w:ascii="Arial Narrow" w:eastAsia="Times" w:hAnsi="Arial Narrow"/>
          <w:sz w:val="22"/>
          <w:szCs w:val="22"/>
        </w:rPr>
        <w:t>cim podľa predchádzajúcej vety Z</w:t>
      </w:r>
      <w:r w:rsidR="00D10E01">
        <w:rPr>
          <w:rFonts w:ascii="Arial Narrow" w:eastAsia="Times" w:hAnsi="Arial Narrow"/>
          <w:sz w:val="22"/>
          <w:szCs w:val="22"/>
        </w:rPr>
        <w:t xml:space="preserve">mluvné strany podpíšu preberací protokol, čím sa považuje Tovar za prevzatý. </w:t>
      </w:r>
      <w:r w:rsidR="00C96EDF">
        <w:rPr>
          <w:rFonts w:ascii="Arial Narrow" w:eastAsia="Times" w:hAnsi="Arial Narrow"/>
          <w:sz w:val="22"/>
          <w:szCs w:val="22"/>
        </w:rPr>
        <w:t xml:space="preserve"> </w:t>
      </w:r>
    </w:p>
    <w:p w14:paraId="651D7A68" w14:textId="521B431E" w:rsidR="00C96EDF" w:rsidRPr="00B8557D"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AEAA578" w14:textId="77777777" w:rsidR="00B8557D" w:rsidRPr="00BD706E" w:rsidRDefault="00B8557D" w:rsidP="00B8557D">
      <w:pPr>
        <w:pStyle w:val="Odsekzoznamu"/>
        <w:spacing w:after="240" w:line="276" w:lineRule="auto"/>
        <w:ind w:left="567"/>
        <w:jc w:val="both"/>
        <w:rPr>
          <w:rFonts w:ascii="Arial Narrow" w:eastAsia="Times" w:hAnsi="Arial Narrow"/>
          <w:color w:val="FF0000"/>
          <w:sz w:val="22"/>
          <w:szCs w:val="22"/>
        </w:rPr>
      </w:pP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125226E5"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085DA81D"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w:t>
      </w:r>
      <w:r w:rsidR="00795C7A">
        <w:rPr>
          <w:rFonts w:ascii="Arial Narrow" w:eastAsia="Calibri" w:hAnsi="Arial Narrow" w:cs="Times New Roman"/>
          <w:sz w:val="22"/>
          <w:szCs w:val="22"/>
          <w:lang w:eastAsia="en-US"/>
        </w:rPr>
        <w:t>kolu</w:t>
      </w:r>
      <w:r w:rsidRPr="00BA03AF">
        <w:rPr>
          <w:rFonts w:ascii="Arial Narrow" w:eastAsia="Calibri" w:hAnsi="Arial Narrow" w:cs="Times New Roman"/>
          <w:sz w:val="22"/>
          <w:szCs w:val="22"/>
          <w:lang w:eastAsia="en-US"/>
        </w:rPr>
        <w:t>,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0524B973"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Záručná doba začína plynúť odo dňa prevzatia Tovaru a potv</w:t>
      </w:r>
      <w:r w:rsidR="00795C7A">
        <w:rPr>
          <w:rFonts w:ascii="Arial Narrow" w:eastAsia="Calibri" w:hAnsi="Arial Narrow" w:cs="Times New Roman"/>
          <w:sz w:val="22"/>
          <w:szCs w:val="22"/>
          <w:lang w:eastAsia="en-US"/>
        </w:rPr>
        <w:t xml:space="preserve">rdením preberacieho protokolu </w:t>
      </w:r>
      <w:r w:rsidR="00795C7A">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00346FF9"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 do sídla Predávajúceho.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12F78D81"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795C7A">
        <w:rPr>
          <w:rFonts w:ascii="Arial Narrow" w:eastAsia="Calibri" w:hAnsi="Arial Narrow" w:cs="Times New Roman"/>
          <w:sz w:val="22"/>
          <w:szCs w:val="22"/>
          <w:lang w:eastAsia="en-US"/>
        </w:rPr>
        <w:t>/</w:t>
      </w:r>
      <w:r w:rsidR="004B0BC2">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60A013C9" w14:textId="3B1853F4"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Jednorazové ochranné rukavice, poskytujúce ochranu CE kategórie III.,</w:t>
      </w:r>
      <w:r>
        <w:rPr>
          <w:rFonts w:ascii="Arial Narrow" w:eastAsia="Calibri" w:hAnsi="Arial Narrow" w:cs="Times New Roman"/>
          <w:sz w:val="22"/>
          <w:szCs w:val="22"/>
          <w:lang w:eastAsia="en-US"/>
        </w:rPr>
        <w:t xml:space="preserve"> určené na ochranu pred postrekom chemikáliami a vírusmi,</w:t>
      </w:r>
    </w:p>
    <w:p w14:paraId="7C9F8903" w14:textId="77777777"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proofErr w:type="spellStart"/>
      <w:r w:rsidRPr="00076666">
        <w:rPr>
          <w:rFonts w:ascii="Arial Narrow" w:eastAsia="Calibri" w:hAnsi="Arial Narrow" w:cs="Times New Roman"/>
          <w:sz w:val="22"/>
          <w:szCs w:val="22"/>
          <w:lang w:eastAsia="en-US"/>
        </w:rPr>
        <w:t>nitrilové</w:t>
      </w:r>
      <w:proofErr w:type="spellEnd"/>
      <w:r w:rsidRPr="00076666">
        <w:rPr>
          <w:rFonts w:ascii="Arial Narrow" w:eastAsia="Calibri" w:hAnsi="Arial Narrow" w:cs="Times New Roman"/>
          <w:sz w:val="22"/>
          <w:szCs w:val="22"/>
          <w:lang w:eastAsia="en-US"/>
        </w:rPr>
        <w:t xml:space="preserve"> (nespôsobujú alergickú reakciu)</w:t>
      </w:r>
      <w:r>
        <w:rPr>
          <w:rFonts w:ascii="Arial Narrow" w:eastAsia="Calibri" w:hAnsi="Arial Narrow" w:cs="Times New Roman"/>
          <w:sz w:val="22"/>
          <w:szCs w:val="22"/>
          <w:lang w:eastAsia="en-US"/>
        </w:rPr>
        <w:t>,</w:t>
      </w:r>
    </w:p>
    <w:p w14:paraId="6DD21177" w14:textId="13543020"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hrúbk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0,12</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minimáln</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dĺžk</w:t>
      </w:r>
      <w:r>
        <w:rPr>
          <w:rFonts w:ascii="Arial Narrow" w:eastAsia="Calibri" w:hAnsi="Arial Narrow" w:cs="Times New Roman"/>
          <w:sz w:val="22"/>
          <w:szCs w:val="22"/>
          <w:lang w:eastAsia="en-US"/>
        </w:rPr>
        <w:t>a</w:t>
      </w:r>
      <w:r w:rsidRPr="00076666">
        <w:rPr>
          <w:rFonts w:ascii="Arial Narrow" w:eastAsia="Calibri" w:hAnsi="Arial Narrow" w:cs="Times New Roman"/>
          <w:sz w:val="22"/>
          <w:szCs w:val="22"/>
          <w:lang w:eastAsia="en-US"/>
        </w:rPr>
        <w:t xml:space="preserve"> 240</w:t>
      </w:r>
      <w:r>
        <w:rPr>
          <w:rFonts w:ascii="Arial Narrow" w:eastAsia="Calibri" w:hAnsi="Arial Narrow" w:cs="Times New Roman"/>
          <w:sz w:val="22"/>
          <w:szCs w:val="22"/>
          <w:lang w:eastAsia="en-US"/>
        </w:rPr>
        <w:t xml:space="preserve"> </w:t>
      </w:r>
      <w:r w:rsidRPr="00076666">
        <w:rPr>
          <w:rFonts w:ascii="Arial Narrow" w:eastAsia="Calibri" w:hAnsi="Arial Narrow" w:cs="Times New Roman"/>
          <w:sz w:val="22"/>
          <w:szCs w:val="22"/>
          <w:lang w:eastAsia="en-US"/>
        </w:rPr>
        <w:t>mm, nepudrované, chlórované, obojru</w:t>
      </w:r>
      <w:r>
        <w:rPr>
          <w:rFonts w:ascii="Arial Narrow" w:eastAsia="Calibri" w:hAnsi="Arial Narrow" w:cs="Times New Roman"/>
          <w:sz w:val="22"/>
          <w:szCs w:val="22"/>
          <w:lang w:eastAsia="en-US"/>
        </w:rPr>
        <w:t>čné,</w:t>
      </w:r>
    </w:p>
    <w:p w14:paraId="1FC6E6A3" w14:textId="3B9592C6"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balenie po 100 ks,</w:t>
      </w:r>
    </w:p>
    <w:p w14:paraId="5E00814E" w14:textId="3328E60B"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546D6EBE" w14:textId="378EE48A" w:rsidR="00076666" w:rsidRDefault="00076666" w:rsidP="0007666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požadované veľkosti: 8(M), 9(L), 10(XL),</w:t>
      </w:r>
    </w:p>
    <w:p w14:paraId="051D929A" w14:textId="41EA63A3" w:rsidR="00C96EDF" w:rsidRPr="00076666" w:rsidRDefault="00076666" w:rsidP="00A4291F">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076666">
        <w:rPr>
          <w:rFonts w:ascii="Arial Narrow" w:eastAsia="Calibri" w:hAnsi="Arial Narrow" w:cs="Times New Roman"/>
          <w:sz w:val="22"/>
          <w:szCs w:val="22"/>
          <w:lang w:eastAsia="en-US"/>
        </w:rPr>
        <w:t xml:space="preserve">výrobok v zhode s EN 420:2003+A1:2009, EN 374-1:2016 typ B, EN 374-5:2016 (vírus) alebo ekvivalentnou normou </w:t>
      </w:r>
    </w:p>
    <w:p w14:paraId="5A8DC967" w14:textId="77777777" w:rsidR="00C96EDF" w:rsidRPr="00BA03AF" w:rsidRDefault="00C96EDF" w:rsidP="00C96EDF">
      <w:pPr>
        <w:jc w:val="both"/>
        <w:rPr>
          <w:rFonts w:ascii="Arial Narrow" w:hAnsi="Arial Narrow"/>
          <w:sz w:val="22"/>
          <w:szCs w:val="22"/>
        </w:rPr>
      </w:pP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35355145" w14:textId="77777777" w:rsidR="00C96EDF" w:rsidRPr="00BA03AF" w:rsidRDefault="00C96EDF" w:rsidP="00C96EDF">
      <w:pPr>
        <w:jc w:val="both"/>
        <w:rPr>
          <w:rFonts w:ascii="Arial Narrow" w:hAnsi="Arial Narrow"/>
          <w:sz w:val="22"/>
          <w:szCs w:val="22"/>
        </w:rPr>
      </w:pPr>
    </w:p>
    <w:p w14:paraId="597B86FA" w14:textId="77777777" w:rsidR="00C96EDF" w:rsidRPr="00BA03AF" w:rsidRDefault="00C96EDF" w:rsidP="00C96EDF">
      <w:pPr>
        <w:jc w:val="both"/>
        <w:rPr>
          <w:rFonts w:ascii="Arial Narrow" w:hAnsi="Arial Narrow"/>
          <w:sz w:val="22"/>
          <w:szCs w:val="22"/>
        </w:rPr>
      </w:pPr>
    </w:p>
    <w:p w14:paraId="72F60686" w14:textId="77777777" w:rsidR="00C96EDF" w:rsidRPr="00BA03AF" w:rsidRDefault="00C96EDF" w:rsidP="00C96EDF">
      <w:pPr>
        <w:jc w:val="both"/>
        <w:rPr>
          <w:rFonts w:ascii="Arial Narrow" w:hAnsi="Arial Narrow"/>
          <w:sz w:val="22"/>
          <w:szCs w:val="22"/>
        </w:rPr>
      </w:pPr>
    </w:p>
    <w:p w14:paraId="63653D7C" w14:textId="77777777" w:rsidR="00C96EDF" w:rsidRPr="00BA03AF" w:rsidRDefault="00C96EDF" w:rsidP="00C96EDF">
      <w:pPr>
        <w:jc w:val="both"/>
        <w:rPr>
          <w:rFonts w:ascii="Arial Narrow" w:hAnsi="Arial Narrow"/>
          <w:sz w:val="22"/>
          <w:szCs w:val="22"/>
        </w:rPr>
      </w:pPr>
    </w:p>
    <w:p w14:paraId="3DF4B329"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2948B30B" w14:textId="77777777" w:rsidR="00D42FC2" w:rsidRPr="005D40D6" w:rsidRDefault="00D42FC2" w:rsidP="00D42FC2">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6DFC4B2C" w14:textId="77777777" w:rsidR="00C96EDF" w:rsidRPr="00BA03AF" w:rsidRDefault="00C96EDF" w:rsidP="00C96EDF">
      <w:pPr>
        <w:jc w:val="both"/>
        <w:rPr>
          <w:rFonts w:ascii="Arial Narrow" w:hAnsi="Arial Narrow"/>
          <w:sz w:val="22"/>
          <w:szCs w:val="22"/>
        </w:rPr>
      </w:pP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4E635AE1" w14:textId="77777777" w:rsidR="00C96EDF" w:rsidRPr="00BA03AF" w:rsidRDefault="00C96EDF" w:rsidP="00C96EDF">
      <w:pPr>
        <w:jc w:val="both"/>
        <w:rPr>
          <w:rFonts w:ascii="Arial Narrow" w:hAnsi="Arial Narrow"/>
          <w:sz w:val="22"/>
          <w:szCs w:val="22"/>
        </w:rPr>
      </w:pPr>
    </w:p>
    <w:p w14:paraId="54A23C9C" w14:textId="77777777" w:rsidR="00C96EDF" w:rsidRDefault="00C96EDF" w:rsidP="00C96EDF">
      <w:pPr>
        <w:spacing w:line="228" w:lineRule="auto"/>
        <w:ind w:right="21"/>
        <w:jc w:val="both"/>
        <w:rPr>
          <w:rFonts w:ascii="Arial Narrow" w:hAnsi="Arial Narrow"/>
          <w:b/>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4D5BE" w14:textId="77777777" w:rsidR="005148CF" w:rsidRDefault="005148CF" w:rsidP="002B7588">
      <w:r>
        <w:separator/>
      </w:r>
    </w:p>
  </w:endnote>
  <w:endnote w:type="continuationSeparator" w:id="0">
    <w:p w14:paraId="6996217D" w14:textId="77777777" w:rsidR="005148CF" w:rsidRDefault="005148CF"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5148CF">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CA7AC" w14:textId="77777777" w:rsidR="005148CF" w:rsidRDefault="005148CF" w:rsidP="002B7588">
      <w:r>
        <w:separator/>
      </w:r>
    </w:p>
  </w:footnote>
  <w:footnote w:type="continuationSeparator" w:id="0">
    <w:p w14:paraId="544BECB9" w14:textId="77777777" w:rsidR="005148CF" w:rsidRDefault="005148CF"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52C8371D" w:rsidR="00916F8A" w:rsidRPr="003D39F5" w:rsidRDefault="00C96EDF" w:rsidP="00916F8A">
    <w:pPr>
      <w:pStyle w:val="Hlavika"/>
      <w:rPr>
        <w:rFonts w:ascii="Arial Narrow" w:hAnsi="Arial Narrow"/>
        <w:sz w:val="16"/>
        <w:szCs w:val="10"/>
      </w:rPr>
    </w:pPr>
    <w:r>
      <w:rPr>
        <w:rFonts w:ascii="Arial Narrow" w:hAnsi="Arial Narrow"/>
        <w:b/>
        <w:sz w:val="16"/>
        <w:szCs w:val="10"/>
      </w:rPr>
      <w:t xml:space="preserve">                                                                                                                                                                        </w:t>
    </w:r>
    <w:proofErr w:type="spellStart"/>
    <w:r w:rsidR="003D39F5">
      <w:rPr>
        <w:rFonts w:ascii="Arial Narrow" w:hAnsi="Arial Narrow"/>
        <w:sz w:val="16"/>
        <w:szCs w:val="10"/>
      </w:rPr>
      <w:t>Príloha</w:t>
    </w:r>
    <w:proofErr w:type="spellEnd"/>
    <w:r w:rsidR="003D39F5">
      <w:rPr>
        <w:rFonts w:ascii="Arial Narrow" w:hAnsi="Arial Narrow"/>
        <w:sz w:val="16"/>
        <w:szCs w:val="10"/>
      </w:rPr>
      <w:t xml:space="preserve"> č. 1 k </w:t>
    </w:r>
    <w:proofErr w:type="spellStart"/>
    <w:r w:rsidR="003D39F5">
      <w:rPr>
        <w:rFonts w:ascii="Arial Narrow" w:hAnsi="Arial Narrow"/>
        <w:sz w:val="16"/>
        <w:szCs w:val="10"/>
      </w:rPr>
      <w:t>výzve</w:t>
    </w:r>
    <w:proofErr w:type="spellEnd"/>
    <w:r w:rsidR="003D39F5">
      <w:rPr>
        <w:rFonts w:ascii="Arial Narrow" w:hAnsi="Arial Narrow"/>
        <w:sz w:val="16"/>
        <w:szCs w:val="10"/>
      </w:rPr>
      <w:t xml:space="preserve"> </w:t>
    </w:r>
    <w:proofErr w:type="spellStart"/>
    <w:r w:rsidR="003D39F5">
      <w:rPr>
        <w:rFonts w:ascii="Arial Narrow" w:hAnsi="Arial Narrow"/>
        <w:sz w:val="16"/>
        <w:szCs w:val="10"/>
      </w:rPr>
      <w:t>na</w:t>
    </w:r>
    <w:proofErr w:type="spellEnd"/>
    <w:r w:rsidR="003D39F5">
      <w:rPr>
        <w:rFonts w:ascii="Arial Narrow" w:hAnsi="Arial Narrow"/>
        <w:sz w:val="16"/>
        <w:szCs w:val="10"/>
      </w:rPr>
      <w:t xml:space="preserve"> </w:t>
    </w:r>
    <w:proofErr w:type="spellStart"/>
    <w:r w:rsidR="003D39F5">
      <w:rPr>
        <w:rFonts w:ascii="Arial Narrow" w:hAnsi="Arial Narrow"/>
        <w:sz w:val="16"/>
        <w:szCs w:val="10"/>
      </w:rPr>
      <w:t>predkladanie</w:t>
    </w:r>
    <w:proofErr w:type="spellEnd"/>
    <w:r w:rsidR="003D39F5">
      <w:rPr>
        <w:rFonts w:ascii="Arial Narrow" w:hAnsi="Arial Narrow"/>
        <w:sz w:val="16"/>
        <w:szCs w:val="10"/>
      </w:rPr>
      <w:t xml:space="preserve"> </w:t>
    </w:r>
    <w:proofErr w:type="spellStart"/>
    <w:r w:rsidR="003D39F5">
      <w:rPr>
        <w:rFonts w:ascii="Arial Narrow" w:hAnsi="Arial Narrow"/>
        <w:sz w:val="16"/>
        <w:szCs w:val="10"/>
      </w:rPr>
      <w:t>ponuk</w:t>
    </w:r>
    <w:proofErr w:type="spellEnd"/>
  </w:p>
  <w:p w14:paraId="10E254EC" w14:textId="4BE9C4BC" w:rsidR="00916F8A" w:rsidRPr="003D39F5" w:rsidRDefault="00390901" w:rsidP="00916F8A">
    <w:pPr>
      <w:pStyle w:val="Hlavika"/>
      <w:rPr>
        <w:rFonts w:ascii="Arial Narrow" w:hAnsi="Arial Narrow"/>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3D39F5">
      <w:rPr>
        <w:rFonts w:ascii="Arial Narrow" w:hAnsi="Arial Narrow"/>
        <w:b/>
        <w:sz w:val="16"/>
        <w:szCs w:val="10"/>
      </w:rPr>
      <w:t xml:space="preserve">                               </w:t>
    </w:r>
    <w:r w:rsidR="003D39F5">
      <w:rPr>
        <w:rFonts w:ascii="Arial Narrow" w:hAnsi="Arial Narrow"/>
        <w:sz w:val="16"/>
        <w:szCs w:val="10"/>
      </w:rPr>
      <w:t xml:space="preserve">s </w:t>
    </w:r>
    <w:proofErr w:type="spellStart"/>
    <w:r w:rsidR="003D39F5">
      <w:rPr>
        <w:rFonts w:ascii="Arial Narrow" w:hAnsi="Arial Narrow"/>
        <w:sz w:val="16"/>
        <w:szCs w:val="10"/>
      </w:rPr>
      <w:t>použitím</w:t>
    </w:r>
    <w:proofErr w:type="spellEnd"/>
    <w:r w:rsidR="003D39F5">
      <w:rPr>
        <w:rFonts w:ascii="Arial Narrow" w:hAnsi="Arial Narrow"/>
        <w:sz w:val="16"/>
        <w:szCs w:val="10"/>
      </w:rPr>
      <w:t xml:space="preserve"> </w:t>
    </w:r>
    <w:proofErr w:type="spellStart"/>
    <w:r w:rsidR="003D39F5">
      <w:rPr>
        <w:rFonts w:ascii="Arial Narrow" w:hAnsi="Arial Narrow"/>
        <w:sz w:val="16"/>
        <w:szCs w:val="10"/>
      </w:rPr>
      <w:t>dynamického</w:t>
    </w:r>
    <w:proofErr w:type="spellEnd"/>
    <w:r w:rsidR="003D39F5">
      <w:rPr>
        <w:rFonts w:ascii="Arial Narrow" w:hAnsi="Arial Narrow"/>
        <w:sz w:val="16"/>
        <w:szCs w:val="10"/>
      </w:rPr>
      <w:t xml:space="preserve"> </w:t>
    </w:r>
    <w:proofErr w:type="spellStart"/>
    <w:r w:rsidR="003D39F5">
      <w:rPr>
        <w:rFonts w:ascii="Arial Narrow" w:hAnsi="Arial Narrow"/>
        <w:sz w:val="16"/>
        <w:szCs w:val="10"/>
      </w:rPr>
      <w:t>nákupného</w:t>
    </w:r>
    <w:proofErr w:type="spellEnd"/>
    <w:r w:rsidR="003D39F5">
      <w:rPr>
        <w:rFonts w:ascii="Arial Narrow" w:hAnsi="Arial Narrow"/>
        <w:sz w:val="16"/>
        <w:szCs w:val="10"/>
      </w:rPr>
      <w:t xml:space="preserve"> </w:t>
    </w:r>
    <w:proofErr w:type="spellStart"/>
    <w:r w:rsidR="003D39F5">
      <w:rPr>
        <w:rFonts w:ascii="Arial Narrow" w:hAnsi="Arial Narrow"/>
        <w:sz w:val="16"/>
        <w:szCs w:val="10"/>
      </w:rPr>
      <w:t>systému</w:t>
    </w:r>
    <w:proofErr w:type="spellEnd"/>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3"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02763E"/>
    <w:multiLevelType w:val="hybridMultilevel"/>
    <w:tmpl w:val="13A88860"/>
    <w:lvl w:ilvl="0" w:tplc="F386F7FC">
      <w:start w:val="65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0"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0"/>
  </w:num>
  <w:num w:numId="3">
    <w:abstractNumId w:val="6"/>
  </w:num>
  <w:num w:numId="4">
    <w:abstractNumId w:val="42"/>
  </w:num>
  <w:num w:numId="5">
    <w:abstractNumId w:val="45"/>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6"/>
  </w:num>
  <w:num w:numId="22">
    <w:abstractNumId w:val="37"/>
  </w:num>
  <w:num w:numId="23">
    <w:abstractNumId w:val="25"/>
  </w:num>
  <w:num w:numId="24">
    <w:abstractNumId w:val="41"/>
  </w:num>
  <w:num w:numId="25">
    <w:abstractNumId w:val="29"/>
  </w:num>
  <w:num w:numId="26">
    <w:abstractNumId w:val="33"/>
  </w:num>
  <w:num w:numId="27">
    <w:abstractNumId w:val="22"/>
  </w:num>
  <w:num w:numId="28">
    <w:abstractNumId w:val="40"/>
  </w:num>
  <w:num w:numId="29">
    <w:abstractNumId w:val="9"/>
  </w:num>
  <w:num w:numId="30">
    <w:abstractNumId w:val="34"/>
  </w:num>
  <w:num w:numId="31">
    <w:abstractNumId w:val="50"/>
  </w:num>
  <w:num w:numId="32">
    <w:abstractNumId w:val="39"/>
  </w:num>
  <w:num w:numId="33">
    <w:abstractNumId w:val="21"/>
  </w:num>
  <w:num w:numId="34">
    <w:abstractNumId w:val="16"/>
  </w:num>
  <w:num w:numId="35">
    <w:abstractNumId w:val="28"/>
  </w:num>
  <w:num w:numId="36">
    <w:abstractNumId w:val="27"/>
  </w:num>
  <w:num w:numId="37">
    <w:abstractNumId w:val="19"/>
  </w:num>
  <w:num w:numId="38">
    <w:abstractNumId w:val="47"/>
  </w:num>
  <w:num w:numId="3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76666"/>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17A"/>
    <w:rsid w:val="003C06DD"/>
    <w:rsid w:val="003C6FCF"/>
    <w:rsid w:val="003D39F5"/>
    <w:rsid w:val="003D7A73"/>
    <w:rsid w:val="003E037E"/>
    <w:rsid w:val="003E1171"/>
    <w:rsid w:val="003E13C9"/>
    <w:rsid w:val="003E42AA"/>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134F1"/>
    <w:rsid w:val="005148CF"/>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3A73"/>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2AA7"/>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5C7A"/>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67FA9"/>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0487B"/>
    <w:rsid w:val="00D10E01"/>
    <w:rsid w:val="00D1114D"/>
    <w:rsid w:val="00D1438B"/>
    <w:rsid w:val="00D17919"/>
    <w:rsid w:val="00D26077"/>
    <w:rsid w:val="00D3427C"/>
    <w:rsid w:val="00D408A1"/>
    <w:rsid w:val="00D41215"/>
    <w:rsid w:val="00D4184A"/>
    <w:rsid w:val="00D42FC2"/>
    <w:rsid w:val="00D44321"/>
    <w:rsid w:val="00D448A7"/>
    <w:rsid w:val="00D550EF"/>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32E36-1BEE-4DA8-B53F-3E96F6F1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3285</Words>
  <Characters>18726</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4</cp:revision>
  <cp:lastPrinted>2020-08-24T14:54:00Z</cp:lastPrinted>
  <dcterms:created xsi:type="dcterms:W3CDTF">2020-08-25T14:42:00Z</dcterms:created>
  <dcterms:modified xsi:type="dcterms:W3CDTF">2020-08-25T15:08:00Z</dcterms:modified>
</cp:coreProperties>
</file>