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781BE" w14:textId="77777777" w:rsidR="00767083" w:rsidRDefault="00767083" w:rsidP="00767083">
      <w:pPr>
        <w:spacing w:line="360" w:lineRule="auto"/>
        <w:jc w:val="both"/>
        <w:rPr>
          <w:rFonts w:ascii="Arial Narrow" w:hAnsi="Arial Narrow"/>
        </w:rPr>
      </w:pPr>
    </w:p>
    <w:p w14:paraId="3DE91364" w14:textId="77777777" w:rsidR="00767083" w:rsidRPr="00BA03AF" w:rsidRDefault="00767083" w:rsidP="00767083">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3199B41A" w14:textId="77777777" w:rsidR="00767083" w:rsidRPr="00BA03AF" w:rsidRDefault="00767083" w:rsidP="00767083">
      <w:pPr>
        <w:jc w:val="center"/>
        <w:rPr>
          <w:rFonts w:ascii="Arial Narrow" w:hAnsi="Arial Narrow"/>
          <w:b/>
          <w:sz w:val="22"/>
          <w:szCs w:val="22"/>
        </w:rPr>
      </w:pPr>
    </w:p>
    <w:p w14:paraId="709F1BF0" w14:textId="77777777" w:rsidR="00767083" w:rsidRPr="00BA03AF" w:rsidRDefault="00767083" w:rsidP="00767083">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22FFC5DE" w14:textId="77777777" w:rsidR="00767083" w:rsidRPr="00BA03AF" w:rsidRDefault="00767083" w:rsidP="00767083">
      <w:pPr>
        <w:rPr>
          <w:rFonts w:ascii="Arial Narrow" w:hAnsi="Arial Narrow"/>
          <w:sz w:val="22"/>
          <w:szCs w:val="22"/>
        </w:rPr>
      </w:pPr>
    </w:p>
    <w:p w14:paraId="49569CE8" w14:textId="77777777" w:rsidR="00767083" w:rsidRPr="00BA03AF" w:rsidRDefault="00767083" w:rsidP="00767083">
      <w:pPr>
        <w:jc w:val="center"/>
        <w:rPr>
          <w:rFonts w:ascii="Arial Narrow" w:hAnsi="Arial Narrow"/>
          <w:sz w:val="22"/>
          <w:szCs w:val="22"/>
        </w:rPr>
      </w:pPr>
      <w:r w:rsidRPr="00BA03AF">
        <w:rPr>
          <w:rFonts w:ascii="Arial Narrow" w:hAnsi="Arial Narrow"/>
          <w:sz w:val="22"/>
          <w:szCs w:val="22"/>
        </w:rPr>
        <w:t>Zmluvné strany</w:t>
      </w:r>
    </w:p>
    <w:p w14:paraId="1ACE4028" w14:textId="77777777" w:rsidR="00767083" w:rsidRPr="00BA03AF" w:rsidRDefault="00767083" w:rsidP="00767083">
      <w:pPr>
        <w:jc w:val="both"/>
        <w:rPr>
          <w:rFonts w:ascii="Arial Narrow" w:hAnsi="Arial Narrow"/>
          <w:sz w:val="22"/>
          <w:szCs w:val="22"/>
        </w:rPr>
      </w:pPr>
    </w:p>
    <w:p w14:paraId="75800A2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4C119EC1" w14:textId="77777777" w:rsidR="00767083" w:rsidRPr="00BA03AF" w:rsidRDefault="00767083" w:rsidP="00767083">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5B043B3D" w14:textId="77777777" w:rsidR="00767083" w:rsidRPr="00BA03AF" w:rsidRDefault="00767083" w:rsidP="00767083">
      <w:pPr>
        <w:jc w:val="both"/>
        <w:rPr>
          <w:rFonts w:ascii="Arial Narrow" w:hAnsi="Arial Narrow"/>
          <w:sz w:val="22"/>
          <w:szCs w:val="22"/>
        </w:rPr>
      </w:pPr>
    </w:p>
    <w:p w14:paraId="4C6166EE"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4FB69526" w14:textId="77777777" w:rsidR="00767083" w:rsidRPr="00BA03AF" w:rsidRDefault="00767083" w:rsidP="00767083">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2A84A0BB" w14:textId="77777777" w:rsidR="00767083" w:rsidRPr="00BA03AF" w:rsidRDefault="00767083" w:rsidP="00767083">
      <w:pPr>
        <w:jc w:val="both"/>
        <w:rPr>
          <w:rFonts w:ascii="Arial Narrow" w:hAnsi="Arial Narrow"/>
          <w:sz w:val="22"/>
          <w:szCs w:val="22"/>
        </w:rPr>
      </w:pPr>
    </w:p>
    <w:p w14:paraId="3D16FC2D"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35D526CF"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4D3EB295"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7955E0BB"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6E9B67A2"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5AE39BE0"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8DFBB1C" w14:textId="77777777" w:rsidR="00767083" w:rsidRPr="00BA03AF" w:rsidRDefault="00767083" w:rsidP="00767083">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A1A2019" w14:textId="77777777" w:rsidR="00767083" w:rsidRPr="00BA03AF" w:rsidRDefault="00767083" w:rsidP="00767083">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074E53C0" w14:textId="77777777" w:rsidR="00767083" w:rsidRPr="00BA03AF" w:rsidRDefault="00767083" w:rsidP="00767083">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62EF991B" w14:textId="77777777" w:rsidR="00767083" w:rsidRPr="00BA03AF" w:rsidRDefault="00767083" w:rsidP="00767083">
      <w:pPr>
        <w:jc w:val="both"/>
        <w:rPr>
          <w:rFonts w:ascii="Arial Narrow" w:hAnsi="Arial Narrow"/>
          <w:color w:val="000000"/>
          <w:sz w:val="22"/>
          <w:szCs w:val="22"/>
        </w:rPr>
      </w:pPr>
    </w:p>
    <w:p w14:paraId="1CD18F08" w14:textId="77777777" w:rsidR="00767083" w:rsidRPr="00BA03AF" w:rsidRDefault="00767083" w:rsidP="00767083">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2E68E0CD" w14:textId="77777777" w:rsidR="00767083" w:rsidRPr="00BA03AF" w:rsidRDefault="00767083" w:rsidP="00767083">
      <w:pPr>
        <w:jc w:val="center"/>
        <w:rPr>
          <w:rFonts w:ascii="Arial Narrow" w:hAnsi="Arial Narrow"/>
          <w:sz w:val="22"/>
          <w:szCs w:val="22"/>
        </w:rPr>
      </w:pPr>
      <w:r w:rsidRPr="00BA03AF">
        <w:rPr>
          <w:rFonts w:ascii="Arial Narrow" w:hAnsi="Arial Narrow"/>
          <w:b/>
          <w:sz w:val="22"/>
          <w:szCs w:val="22"/>
        </w:rPr>
        <w:t>a</w:t>
      </w:r>
    </w:p>
    <w:p w14:paraId="0884E979" w14:textId="77777777" w:rsidR="00767083" w:rsidRPr="00BA03AF" w:rsidRDefault="00767083" w:rsidP="00767083">
      <w:pPr>
        <w:rPr>
          <w:rFonts w:ascii="Arial Narrow" w:hAnsi="Arial Narrow"/>
        </w:rPr>
      </w:pPr>
    </w:p>
    <w:p w14:paraId="6DFD87FE" w14:textId="77777777" w:rsidR="00767083" w:rsidRPr="00BA03AF" w:rsidRDefault="00767083" w:rsidP="00767083">
      <w:pPr>
        <w:jc w:val="both"/>
        <w:rPr>
          <w:rFonts w:ascii="Arial Narrow" w:hAnsi="Arial Narrow"/>
          <w:b/>
        </w:rPr>
      </w:pPr>
    </w:p>
    <w:p w14:paraId="32570E97" w14:textId="77777777" w:rsidR="00767083" w:rsidRPr="00BA03AF" w:rsidRDefault="00767083" w:rsidP="00767083">
      <w:pPr>
        <w:jc w:val="both"/>
        <w:rPr>
          <w:rFonts w:ascii="Arial Narrow" w:hAnsi="Arial Narrow"/>
          <w:sz w:val="20"/>
          <w:szCs w:val="20"/>
        </w:rPr>
      </w:pPr>
    </w:p>
    <w:p w14:paraId="50D77F4F" w14:textId="77777777" w:rsidR="00767083" w:rsidRPr="00BA03AF" w:rsidRDefault="00767083" w:rsidP="00767083">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763BEC56" w14:textId="77777777" w:rsidR="00767083" w:rsidRPr="00BA03AF" w:rsidRDefault="00767083" w:rsidP="00767083">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73E69BFF" w14:textId="77777777" w:rsidR="00767083" w:rsidRPr="00BA03AF" w:rsidRDefault="00767083" w:rsidP="00767083">
      <w:pPr>
        <w:ind w:left="2127" w:hanging="2127"/>
        <w:jc w:val="both"/>
        <w:rPr>
          <w:rFonts w:ascii="Arial Narrow" w:hAnsi="Arial Narrow"/>
        </w:rPr>
      </w:pPr>
    </w:p>
    <w:p w14:paraId="70FB701B" w14:textId="77777777" w:rsidR="00767083" w:rsidRPr="00BA03AF" w:rsidRDefault="00767083" w:rsidP="00767083">
      <w:pPr>
        <w:jc w:val="both"/>
        <w:rPr>
          <w:rFonts w:ascii="Arial Narrow" w:hAnsi="Arial Narrow"/>
        </w:rPr>
      </w:pPr>
      <w:r w:rsidRPr="00BA03AF">
        <w:rPr>
          <w:rFonts w:ascii="Arial Narrow" w:hAnsi="Arial Narrow"/>
        </w:rPr>
        <w:t>IČO:</w:t>
      </w:r>
      <w:r w:rsidRPr="00BA03AF">
        <w:tab/>
      </w:r>
      <w:r w:rsidRPr="00BA03AF">
        <w:tab/>
      </w:r>
      <w:r w:rsidRPr="00BA03AF">
        <w:tab/>
      </w:r>
    </w:p>
    <w:p w14:paraId="7908C05B" w14:textId="77777777" w:rsidR="00767083" w:rsidRPr="00BA03AF" w:rsidRDefault="00767083" w:rsidP="00767083">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5FC84956" w14:textId="77777777" w:rsidR="00767083" w:rsidRPr="00BA03AF" w:rsidRDefault="00767083" w:rsidP="00767083">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21B23FD6" w14:textId="77777777" w:rsidR="00767083" w:rsidRPr="00BA03AF" w:rsidRDefault="00767083" w:rsidP="00767083">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4E47B52E" w14:textId="77777777" w:rsidR="00767083" w:rsidRPr="00BA03AF" w:rsidRDefault="00767083" w:rsidP="00767083">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2FFE87A5" w14:textId="77777777" w:rsidR="00767083" w:rsidRPr="00BA03AF" w:rsidRDefault="00767083" w:rsidP="00767083">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52A687ED" w14:textId="77777777" w:rsidR="00767083" w:rsidRPr="00BA03AF" w:rsidRDefault="00767083" w:rsidP="00767083">
      <w:pPr>
        <w:ind w:left="2124" w:hanging="2124"/>
        <w:jc w:val="both"/>
        <w:rPr>
          <w:rFonts w:ascii="Arial Narrow" w:hAnsi="Arial Narrow"/>
        </w:rPr>
      </w:pPr>
    </w:p>
    <w:p w14:paraId="59B977C5" w14:textId="77777777" w:rsidR="00767083" w:rsidRPr="00BA03AF" w:rsidRDefault="00767083" w:rsidP="00767083">
      <w:pPr>
        <w:jc w:val="both"/>
      </w:pPr>
      <w:r w:rsidRPr="00BA03AF">
        <w:rPr>
          <w:rFonts w:ascii="Arial Narrow" w:hAnsi="Arial Narrow"/>
          <w:bCs/>
        </w:rPr>
        <w:t xml:space="preserve">Zapísaný v Obchodnom registri </w:t>
      </w:r>
    </w:p>
    <w:p w14:paraId="3B34B741" w14:textId="77777777" w:rsidR="00767083" w:rsidRPr="00BA03AF" w:rsidRDefault="00767083" w:rsidP="00767083">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706707A9" w14:textId="77777777" w:rsidR="00767083" w:rsidRPr="00BA03AF" w:rsidRDefault="00767083" w:rsidP="00767083">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3B9DD070" w14:textId="77777777" w:rsidR="00767083" w:rsidRDefault="00767083" w:rsidP="00767083">
      <w:pPr>
        <w:spacing w:after="240"/>
        <w:jc w:val="both"/>
        <w:rPr>
          <w:rFonts w:ascii="Arial Narrow" w:hAnsi="Arial Narrow"/>
          <w:sz w:val="22"/>
          <w:szCs w:val="22"/>
        </w:rPr>
      </w:pPr>
    </w:p>
    <w:p w14:paraId="30521DD9" w14:textId="77777777" w:rsidR="00767083" w:rsidRPr="00BA03AF" w:rsidRDefault="00767083" w:rsidP="00767083">
      <w:pPr>
        <w:spacing w:after="240"/>
        <w:jc w:val="both"/>
        <w:rPr>
          <w:rFonts w:ascii="Arial Narrow" w:hAnsi="Arial Narrow"/>
          <w:sz w:val="22"/>
          <w:szCs w:val="22"/>
        </w:rPr>
      </w:pPr>
    </w:p>
    <w:p w14:paraId="594FDA68"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677ABA0B"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6A403845" w14:textId="77777777" w:rsidR="00767083" w:rsidRPr="00B25600" w:rsidRDefault="00767083" w:rsidP="00767083">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3CBBAE12" w14:textId="77777777" w:rsidR="00767083" w:rsidRDefault="00767083" w:rsidP="00767083">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0711BDD0"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4EAB7CCC"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23DF8CB5" w14:textId="2978F5C7" w:rsidR="00767083" w:rsidRDefault="00767083" w:rsidP="0076708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217"/>
        <w:gridCol w:w="477"/>
        <w:gridCol w:w="3841"/>
        <w:gridCol w:w="1156"/>
      </w:tblGrid>
      <w:tr w:rsidR="00CF6DF9" w:rsidRPr="00101978" w14:paraId="0F052711" w14:textId="77777777" w:rsidTr="00101978">
        <w:tc>
          <w:tcPr>
            <w:tcW w:w="727" w:type="dxa"/>
            <w:tcBorders>
              <w:top w:val="single" w:sz="4" w:space="0" w:color="auto"/>
              <w:left w:val="single" w:sz="4" w:space="0" w:color="auto"/>
              <w:bottom w:val="single" w:sz="4" w:space="0" w:color="auto"/>
              <w:right w:val="single" w:sz="4" w:space="0" w:color="auto"/>
            </w:tcBorders>
            <w:hideMark/>
          </w:tcPr>
          <w:p w14:paraId="4145625A" w14:textId="77777777" w:rsidR="00CF6DF9" w:rsidRPr="00101978" w:rsidRDefault="00CF6DF9">
            <w:pPr>
              <w:pStyle w:val="Odsekzoznamu"/>
              <w:tabs>
                <w:tab w:val="left" w:pos="300"/>
              </w:tabs>
              <w:spacing w:before="60" w:line="360" w:lineRule="auto"/>
              <w:ind w:left="0"/>
              <w:jc w:val="both"/>
              <w:rPr>
                <w:rFonts w:ascii="Arial Narrow" w:eastAsia="Times New Roman" w:hAnsi="Arial Narrow" w:cs="Times New Roman"/>
                <w:sz w:val="22"/>
                <w:szCs w:val="22"/>
                <w:lang w:eastAsia="ar-SA"/>
              </w:rPr>
            </w:pPr>
            <w:r w:rsidRPr="00101978">
              <w:rPr>
                <w:rFonts w:ascii="Arial Narrow" w:hAnsi="Arial Narrow"/>
                <w:sz w:val="22"/>
                <w:szCs w:val="22"/>
              </w:rPr>
              <w:t>P. č.</w:t>
            </w:r>
          </w:p>
        </w:tc>
        <w:tc>
          <w:tcPr>
            <w:tcW w:w="2217" w:type="dxa"/>
            <w:tcBorders>
              <w:top w:val="single" w:sz="4" w:space="0" w:color="auto"/>
              <w:left w:val="single" w:sz="4" w:space="0" w:color="auto"/>
              <w:bottom w:val="single" w:sz="4" w:space="0" w:color="auto"/>
              <w:right w:val="single" w:sz="4" w:space="0" w:color="auto"/>
            </w:tcBorders>
            <w:hideMark/>
          </w:tcPr>
          <w:p w14:paraId="1DDAEB97" w14:textId="77777777" w:rsidR="00CF6DF9" w:rsidRPr="00101978" w:rsidRDefault="00CF6DF9">
            <w:pPr>
              <w:pStyle w:val="Odsekzoznamu"/>
              <w:tabs>
                <w:tab w:val="left" w:pos="300"/>
              </w:tabs>
              <w:spacing w:before="60" w:line="360" w:lineRule="auto"/>
              <w:ind w:left="0"/>
              <w:jc w:val="both"/>
              <w:rPr>
                <w:rFonts w:ascii="Arial Narrow" w:hAnsi="Arial Narrow"/>
                <w:sz w:val="22"/>
                <w:szCs w:val="22"/>
              </w:rPr>
            </w:pPr>
            <w:r w:rsidRPr="00101978">
              <w:rPr>
                <w:rFonts w:ascii="Arial Narrow" w:hAnsi="Arial Narrow"/>
                <w:sz w:val="22"/>
                <w:szCs w:val="22"/>
              </w:rPr>
              <w:t>Názov</w:t>
            </w:r>
          </w:p>
        </w:tc>
        <w:tc>
          <w:tcPr>
            <w:tcW w:w="477" w:type="dxa"/>
            <w:tcBorders>
              <w:top w:val="single" w:sz="4" w:space="0" w:color="auto"/>
              <w:left w:val="single" w:sz="4" w:space="0" w:color="auto"/>
              <w:bottom w:val="single" w:sz="4" w:space="0" w:color="auto"/>
              <w:right w:val="single" w:sz="4" w:space="0" w:color="auto"/>
            </w:tcBorders>
            <w:hideMark/>
          </w:tcPr>
          <w:p w14:paraId="728CD1F9" w14:textId="77777777" w:rsidR="00CF6DF9" w:rsidRPr="00101978" w:rsidRDefault="00CF6DF9">
            <w:pPr>
              <w:pStyle w:val="Odsekzoznamu"/>
              <w:tabs>
                <w:tab w:val="left" w:pos="300"/>
              </w:tabs>
              <w:spacing w:before="60" w:line="360" w:lineRule="auto"/>
              <w:ind w:left="0"/>
              <w:jc w:val="center"/>
              <w:rPr>
                <w:rFonts w:ascii="Arial Narrow" w:hAnsi="Arial Narrow"/>
                <w:sz w:val="22"/>
                <w:szCs w:val="22"/>
              </w:rPr>
            </w:pPr>
            <w:r w:rsidRPr="00101978">
              <w:rPr>
                <w:rFonts w:ascii="Arial Narrow" w:hAnsi="Arial Narrow"/>
                <w:sz w:val="22"/>
                <w:szCs w:val="22"/>
              </w:rPr>
              <w:t>MJ</w:t>
            </w:r>
          </w:p>
        </w:tc>
        <w:tc>
          <w:tcPr>
            <w:tcW w:w="3841" w:type="dxa"/>
            <w:tcBorders>
              <w:top w:val="single" w:sz="4" w:space="0" w:color="auto"/>
              <w:left w:val="single" w:sz="4" w:space="0" w:color="auto"/>
              <w:bottom w:val="single" w:sz="4" w:space="0" w:color="auto"/>
              <w:right w:val="single" w:sz="4" w:space="0" w:color="auto"/>
            </w:tcBorders>
            <w:hideMark/>
          </w:tcPr>
          <w:p w14:paraId="1F6040A9" w14:textId="77777777" w:rsidR="00CF6DF9" w:rsidRPr="00101978" w:rsidRDefault="00CF6DF9">
            <w:pPr>
              <w:pStyle w:val="Odsekzoznamu"/>
              <w:tabs>
                <w:tab w:val="left" w:pos="300"/>
              </w:tabs>
              <w:spacing w:before="60" w:line="360" w:lineRule="auto"/>
              <w:ind w:left="0"/>
              <w:jc w:val="both"/>
              <w:rPr>
                <w:rFonts w:ascii="Arial Narrow" w:hAnsi="Arial Narrow"/>
                <w:sz w:val="22"/>
                <w:szCs w:val="22"/>
              </w:rPr>
            </w:pPr>
            <w:r w:rsidRPr="00101978">
              <w:rPr>
                <w:rFonts w:ascii="Arial Narrow" w:hAnsi="Arial Narrow"/>
                <w:sz w:val="22"/>
                <w:szCs w:val="22"/>
              </w:rPr>
              <w:t xml:space="preserve">Dodanie od účinnosti Zmluvy najneskôr </w:t>
            </w:r>
          </w:p>
        </w:tc>
        <w:tc>
          <w:tcPr>
            <w:tcW w:w="1156" w:type="dxa"/>
            <w:tcBorders>
              <w:top w:val="single" w:sz="4" w:space="0" w:color="auto"/>
              <w:left w:val="single" w:sz="4" w:space="0" w:color="auto"/>
              <w:bottom w:val="single" w:sz="4" w:space="0" w:color="auto"/>
              <w:right w:val="single" w:sz="4" w:space="0" w:color="auto"/>
            </w:tcBorders>
            <w:hideMark/>
          </w:tcPr>
          <w:p w14:paraId="4A9D48F8" w14:textId="77777777" w:rsidR="00CF6DF9" w:rsidRPr="00101978" w:rsidRDefault="00CF6DF9">
            <w:pPr>
              <w:pStyle w:val="Odsekzoznamu"/>
              <w:tabs>
                <w:tab w:val="left" w:pos="300"/>
              </w:tabs>
              <w:spacing w:before="60" w:line="360" w:lineRule="auto"/>
              <w:ind w:left="0"/>
              <w:jc w:val="both"/>
              <w:rPr>
                <w:rFonts w:ascii="Arial Narrow" w:hAnsi="Arial Narrow"/>
                <w:sz w:val="22"/>
                <w:szCs w:val="22"/>
              </w:rPr>
            </w:pPr>
            <w:r w:rsidRPr="00101978">
              <w:rPr>
                <w:rFonts w:ascii="Arial Narrow" w:hAnsi="Arial Narrow"/>
                <w:sz w:val="22"/>
                <w:szCs w:val="22"/>
              </w:rPr>
              <w:t>Množstvo</w:t>
            </w:r>
          </w:p>
        </w:tc>
      </w:tr>
      <w:tr w:rsidR="00CF6DF9" w:rsidRPr="00101978" w14:paraId="5DECB88B" w14:textId="77777777" w:rsidTr="00101978">
        <w:tc>
          <w:tcPr>
            <w:tcW w:w="727" w:type="dxa"/>
            <w:tcBorders>
              <w:top w:val="single" w:sz="4" w:space="0" w:color="auto"/>
              <w:left w:val="single" w:sz="4" w:space="0" w:color="auto"/>
              <w:bottom w:val="single" w:sz="4" w:space="0" w:color="auto"/>
              <w:right w:val="single" w:sz="4" w:space="0" w:color="auto"/>
            </w:tcBorders>
            <w:vAlign w:val="center"/>
            <w:hideMark/>
          </w:tcPr>
          <w:p w14:paraId="53B869E7" w14:textId="77777777" w:rsidR="00CF6DF9" w:rsidRPr="00101978" w:rsidRDefault="00CF6DF9">
            <w:pPr>
              <w:pStyle w:val="Odsekzoznamu"/>
              <w:tabs>
                <w:tab w:val="left" w:pos="300"/>
              </w:tabs>
              <w:spacing w:before="60" w:line="360" w:lineRule="auto"/>
              <w:ind w:left="0"/>
              <w:jc w:val="both"/>
              <w:rPr>
                <w:rFonts w:ascii="Arial Narrow" w:hAnsi="Arial Narrow"/>
                <w:sz w:val="22"/>
                <w:szCs w:val="22"/>
              </w:rPr>
            </w:pPr>
            <w:r w:rsidRPr="00101978">
              <w:rPr>
                <w:rFonts w:ascii="Arial Narrow" w:hAnsi="Arial Narrow"/>
                <w:sz w:val="22"/>
                <w:szCs w:val="22"/>
              </w:rPr>
              <w:t>1.</w:t>
            </w:r>
          </w:p>
        </w:tc>
        <w:tc>
          <w:tcPr>
            <w:tcW w:w="2217" w:type="dxa"/>
            <w:tcBorders>
              <w:top w:val="single" w:sz="4" w:space="0" w:color="auto"/>
              <w:left w:val="single" w:sz="4" w:space="0" w:color="auto"/>
              <w:bottom w:val="single" w:sz="4" w:space="0" w:color="auto"/>
              <w:right w:val="single" w:sz="4" w:space="0" w:color="auto"/>
            </w:tcBorders>
            <w:vAlign w:val="center"/>
            <w:hideMark/>
          </w:tcPr>
          <w:p w14:paraId="64C39BA2" w14:textId="77777777" w:rsidR="00CF6DF9" w:rsidRPr="00101978" w:rsidRDefault="00CF6DF9">
            <w:pPr>
              <w:pStyle w:val="Odsekzoznamu"/>
              <w:tabs>
                <w:tab w:val="left" w:pos="300"/>
              </w:tabs>
              <w:spacing w:before="60"/>
              <w:ind w:left="0"/>
              <w:jc w:val="both"/>
              <w:rPr>
                <w:rFonts w:ascii="Arial Narrow" w:hAnsi="Arial Narrow"/>
                <w:sz w:val="22"/>
                <w:szCs w:val="22"/>
              </w:rPr>
            </w:pPr>
            <w:r w:rsidRPr="00101978">
              <w:rPr>
                <w:rFonts w:ascii="Arial Narrow" w:hAnsi="Arial Narrow"/>
                <w:sz w:val="22"/>
                <w:szCs w:val="22"/>
              </w:rPr>
              <w:t xml:space="preserve">Návleky na obuv vysoké </w:t>
            </w:r>
          </w:p>
        </w:tc>
        <w:tc>
          <w:tcPr>
            <w:tcW w:w="477" w:type="dxa"/>
            <w:tcBorders>
              <w:top w:val="single" w:sz="4" w:space="0" w:color="auto"/>
              <w:left w:val="single" w:sz="4" w:space="0" w:color="auto"/>
              <w:bottom w:val="single" w:sz="4" w:space="0" w:color="auto"/>
              <w:right w:val="single" w:sz="4" w:space="0" w:color="auto"/>
            </w:tcBorders>
            <w:vAlign w:val="center"/>
            <w:hideMark/>
          </w:tcPr>
          <w:p w14:paraId="3F367217" w14:textId="0ACE78C1" w:rsidR="00CF6DF9" w:rsidRPr="00101978" w:rsidRDefault="00743862">
            <w:pPr>
              <w:pStyle w:val="Odsekzoznamu"/>
              <w:tabs>
                <w:tab w:val="left" w:pos="300"/>
              </w:tabs>
              <w:spacing w:before="60" w:line="360" w:lineRule="auto"/>
              <w:ind w:left="0"/>
              <w:jc w:val="center"/>
              <w:rPr>
                <w:rFonts w:ascii="Arial Narrow" w:hAnsi="Arial Narrow"/>
                <w:sz w:val="22"/>
                <w:szCs w:val="22"/>
              </w:rPr>
            </w:pPr>
            <w:r w:rsidRPr="00101978">
              <w:rPr>
                <w:rFonts w:ascii="Arial Narrow" w:hAnsi="Arial Narrow"/>
                <w:sz w:val="22"/>
                <w:szCs w:val="22"/>
              </w:rPr>
              <w:t>pár</w:t>
            </w:r>
          </w:p>
        </w:tc>
        <w:tc>
          <w:tcPr>
            <w:tcW w:w="3841" w:type="dxa"/>
            <w:tcBorders>
              <w:top w:val="single" w:sz="4" w:space="0" w:color="auto"/>
              <w:left w:val="single" w:sz="4" w:space="0" w:color="auto"/>
              <w:bottom w:val="single" w:sz="4" w:space="0" w:color="auto"/>
              <w:right w:val="single" w:sz="4" w:space="0" w:color="auto"/>
            </w:tcBorders>
            <w:vAlign w:val="center"/>
            <w:hideMark/>
          </w:tcPr>
          <w:p w14:paraId="26C3A6D6" w14:textId="77777777" w:rsidR="00CF6DF9" w:rsidRPr="00101978" w:rsidRDefault="00CF6DF9">
            <w:pPr>
              <w:pStyle w:val="Odsekzoznamu"/>
              <w:tabs>
                <w:tab w:val="left" w:pos="300"/>
              </w:tabs>
              <w:spacing w:before="60" w:line="360" w:lineRule="auto"/>
              <w:ind w:left="0"/>
              <w:jc w:val="center"/>
              <w:rPr>
                <w:rFonts w:ascii="Arial Narrow" w:hAnsi="Arial Narrow"/>
                <w:sz w:val="22"/>
                <w:szCs w:val="22"/>
              </w:rPr>
            </w:pPr>
            <w:r w:rsidRPr="00101978">
              <w:rPr>
                <w:rFonts w:ascii="Arial Narrow" w:hAnsi="Arial Narrow"/>
                <w:sz w:val="22"/>
                <w:szCs w:val="22"/>
              </w:rPr>
              <w:t>do dvadsaťjeden (21) kalendárnych dní</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AE42859" w14:textId="7192CB96" w:rsidR="00CF6DF9" w:rsidRPr="00101978" w:rsidRDefault="00FC0B59" w:rsidP="00101978">
            <w:pPr>
              <w:pStyle w:val="Odsekzoznamu"/>
              <w:tabs>
                <w:tab w:val="left" w:pos="300"/>
              </w:tabs>
              <w:spacing w:before="60" w:line="360" w:lineRule="auto"/>
              <w:ind w:left="0"/>
              <w:jc w:val="right"/>
              <w:rPr>
                <w:rFonts w:ascii="Arial Narrow" w:hAnsi="Arial Narrow"/>
                <w:sz w:val="22"/>
                <w:szCs w:val="22"/>
              </w:rPr>
            </w:pPr>
            <w:r w:rsidRPr="00101978">
              <w:rPr>
                <w:rFonts w:ascii="Arial Narrow" w:hAnsi="Arial Narrow"/>
                <w:sz w:val="22"/>
                <w:szCs w:val="22"/>
              </w:rPr>
              <w:t>40 000</w:t>
            </w:r>
          </w:p>
        </w:tc>
      </w:tr>
      <w:tr w:rsidR="00101978" w14:paraId="0870C57A" w14:textId="77777777" w:rsidTr="00101978">
        <w:tc>
          <w:tcPr>
            <w:tcW w:w="7262" w:type="dxa"/>
            <w:gridSpan w:val="4"/>
            <w:tcBorders>
              <w:top w:val="single" w:sz="4" w:space="0" w:color="auto"/>
              <w:left w:val="single" w:sz="4" w:space="0" w:color="auto"/>
              <w:bottom w:val="single" w:sz="4" w:space="0" w:color="auto"/>
              <w:right w:val="single" w:sz="4" w:space="0" w:color="auto"/>
            </w:tcBorders>
            <w:hideMark/>
          </w:tcPr>
          <w:p w14:paraId="5D70A102" w14:textId="77777777" w:rsidR="00101978" w:rsidRPr="00101978" w:rsidRDefault="00101978" w:rsidP="00101978">
            <w:pPr>
              <w:pStyle w:val="Odsekzoznamu"/>
              <w:tabs>
                <w:tab w:val="left" w:pos="300"/>
              </w:tabs>
              <w:spacing w:before="60" w:line="360" w:lineRule="auto"/>
              <w:ind w:left="0"/>
              <w:jc w:val="both"/>
              <w:rPr>
                <w:rFonts w:ascii="Arial Narrow" w:hAnsi="Arial Narrow"/>
                <w:sz w:val="22"/>
                <w:szCs w:val="22"/>
              </w:rPr>
            </w:pPr>
            <w:r w:rsidRPr="00101978">
              <w:rPr>
                <w:rFonts w:ascii="Arial Narrow" w:hAnsi="Arial Narrow"/>
                <w:b/>
                <w:sz w:val="22"/>
                <w:szCs w:val="22"/>
              </w:rPr>
              <w:t>Spolu</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4DDB4E0" w14:textId="707C53FB" w:rsidR="00101978" w:rsidRDefault="00101978" w:rsidP="00101978">
            <w:pPr>
              <w:pStyle w:val="Odsekzoznamu"/>
              <w:tabs>
                <w:tab w:val="left" w:pos="300"/>
              </w:tabs>
              <w:spacing w:before="60" w:line="360" w:lineRule="auto"/>
              <w:ind w:left="0"/>
              <w:jc w:val="right"/>
              <w:rPr>
                <w:rFonts w:ascii="Arial Narrow" w:hAnsi="Arial Narrow"/>
                <w:b/>
                <w:sz w:val="22"/>
                <w:szCs w:val="22"/>
              </w:rPr>
            </w:pPr>
            <w:r w:rsidRPr="00101978">
              <w:rPr>
                <w:rFonts w:ascii="Arial Narrow" w:hAnsi="Arial Narrow"/>
                <w:sz w:val="22"/>
                <w:szCs w:val="22"/>
              </w:rPr>
              <w:t>40 000</w:t>
            </w:r>
          </w:p>
        </w:tc>
      </w:tr>
    </w:tbl>
    <w:p w14:paraId="20799E4C" w14:textId="77777777" w:rsidR="00CF6DF9" w:rsidRPr="00BA03AF" w:rsidRDefault="00CF6DF9" w:rsidP="00CF6DF9">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50FEA7BC" w14:textId="77777777" w:rsidR="00767083" w:rsidRPr="00BA03AF" w:rsidRDefault="00767083" w:rsidP="00767083">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5475CAC3" w14:textId="77777777" w:rsidR="00767083" w:rsidRPr="00BA03AF" w:rsidRDefault="00767083" w:rsidP="0076708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45F07128" w14:textId="77777777" w:rsidR="00767083" w:rsidRPr="00BA03AF" w:rsidRDefault="00767083" w:rsidP="00767083">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3431EEF6" w14:textId="77777777" w:rsidR="00767083" w:rsidRPr="00BA03AF" w:rsidRDefault="00767083" w:rsidP="00767083">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7AA92EA0" w14:textId="77777777" w:rsidR="00767083" w:rsidRPr="00BA03AF" w:rsidRDefault="00767083" w:rsidP="00767083">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76EB978"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7DCE087B"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428595B"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7AF8EFDE" w14:textId="77777777" w:rsidR="00767083" w:rsidRPr="00BA03AF" w:rsidRDefault="00767083" w:rsidP="00767083">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3B17027F"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7CC79CDF"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sidRPr="00BA03AF">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10DA15F2"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9888D01"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269619A9" w14:textId="77777777" w:rsidR="00767083" w:rsidRPr="00BA03AF" w:rsidRDefault="00767083" w:rsidP="00767083">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67632802"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6202B6BB"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1D291441"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4BFABFCE"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6D9D1288" w14:textId="77777777" w:rsidR="00767083" w:rsidRPr="00BA03AF" w:rsidRDefault="00767083" w:rsidP="00767083">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3DDCDD4C" w14:textId="77777777" w:rsidR="00767083"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217"/>
        <w:gridCol w:w="477"/>
        <w:gridCol w:w="3841"/>
        <w:gridCol w:w="1156"/>
      </w:tblGrid>
      <w:tr w:rsidR="00CF6DF9" w14:paraId="02E9E1D0" w14:textId="77777777" w:rsidTr="00101978">
        <w:tc>
          <w:tcPr>
            <w:tcW w:w="727" w:type="dxa"/>
            <w:tcBorders>
              <w:top w:val="single" w:sz="4" w:space="0" w:color="auto"/>
              <w:left w:val="single" w:sz="4" w:space="0" w:color="auto"/>
              <w:bottom w:val="single" w:sz="4" w:space="0" w:color="auto"/>
              <w:right w:val="single" w:sz="4" w:space="0" w:color="auto"/>
            </w:tcBorders>
            <w:hideMark/>
          </w:tcPr>
          <w:p w14:paraId="5A313F0B" w14:textId="77777777" w:rsidR="00CF6DF9" w:rsidRDefault="00CF6DF9">
            <w:pPr>
              <w:pStyle w:val="Odsekzoznamu"/>
              <w:tabs>
                <w:tab w:val="left" w:pos="300"/>
              </w:tabs>
              <w:spacing w:before="60" w:line="360" w:lineRule="auto"/>
              <w:ind w:left="0"/>
              <w:jc w:val="both"/>
              <w:rPr>
                <w:rFonts w:ascii="Arial Narrow" w:eastAsia="Times New Roman" w:hAnsi="Arial Narrow" w:cs="Times New Roman"/>
                <w:sz w:val="22"/>
                <w:szCs w:val="22"/>
                <w:lang w:eastAsia="ar-SA"/>
              </w:rPr>
            </w:pPr>
            <w:r>
              <w:rPr>
                <w:rFonts w:ascii="Arial Narrow" w:hAnsi="Arial Narrow"/>
                <w:sz w:val="22"/>
                <w:szCs w:val="22"/>
              </w:rPr>
              <w:t>P. č.</w:t>
            </w:r>
          </w:p>
        </w:tc>
        <w:tc>
          <w:tcPr>
            <w:tcW w:w="2217" w:type="dxa"/>
            <w:tcBorders>
              <w:top w:val="single" w:sz="4" w:space="0" w:color="auto"/>
              <w:left w:val="single" w:sz="4" w:space="0" w:color="auto"/>
              <w:bottom w:val="single" w:sz="4" w:space="0" w:color="auto"/>
              <w:right w:val="single" w:sz="4" w:space="0" w:color="auto"/>
            </w:tcBorders>
            <w:hideMark/>
          </w:tcPr>
          <w:p w14:paraId="2E4C7B7D" w14:textId="77777777" w:rsidR="00CF6DF9" w:rsidRDefault="00CF6DF9">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477" w:type="dxa"/>
            <w:tcBorders>
              <w:top w:val="single" w:sz="4" w:space="0" w:color="auto"/>
              <w:left w:val="single" w:sz="4" w:space="0" w:color="auto"/>
              <w:bottom w:val="single" w:sz="4" w:space="0" w:color="auto"/>
              <w:right w:val="single" w:sz="4" w:space="0" w:color="auto"/>
            </w:tcBorders>
            <w:hideMark/>
          </w:tcPr>
          <w:p w14:paraId="472A32DE" w14:textId="77777777" w:rsidR="00CF6DF9" w:rsidRDefault="00CF6DF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841" w:type="dxa"/>
            <w:tcBorders>
              <w:top w:val="single" w:sz="4" w:space="0" w:color="auto"/>
              <w:left w:val="single" w:sz="4" w:space="0" w:color="auto"/>
              <w:bottom w:val="single" w:sz="4" w:space="0" w:color="auto"/>
              <w:right w:val="single" w:sz="4" w:space="0" w:color="auto"/>
            </w:tcBorders>
            <w:shd w:val="clear" w:color="auto" w:fill="auto"/>
            <w:hideMark/>
          </w:tcPr>
          <w:p w14:paraId="38EE3AED" w14:textId="77777777" w:rsidR="00CF6DF9" w:rsidRDefault="00CF6DF9">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56" w:type="dxa"/>
            <w:tcBorders>
              <w:top w:val="single" w:sz="4" w:space="0" w:color="auto"/>
              <w:left w:val="single" w:sz="4" w:space="0" w:color="auto"/>
              <w:bottom w:val="single" w:sz="4" w:space="0" w:color="auto"/>
              <w:right w:val="single" w:sz="4" w:space="0" w:color="auto"/>
            </w:tcBorders>
            <w:hideMark/>
          </w:tcPr>
          <w:p w14:paraId="26576C7E" w14:textId="77777777" w:rsidR="00CF6DF9" w:rsidRDefault="00CF6DF9">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101978" w14:paraId="5A5A87E1" w14:textId="77777777" w:rsidTr="00101978">
        <w:tc>
          <w:tcPr>
            <w:tcW w:w="727" w:type="dxa"/>
            <w:tcBorders>
              <w:top w:val="single" w:sz="4" w:space="0" w:color="auto"/>
              <w:left w:val="single" w:sz="4" w:space="0" w:color="auto"/>
              <w:bottom w:val="single" w:sz="4" w:space="0" w:color="auto"/>
              <w:right w:val="single" w:sz="4" w:space="0" w:color="auto"/>
            </w:tcBorders>
            <w:vAlign w:val="center"/>
            <w:hideMark/>
          </w:tcPr>
          <w:p w14:paraId="61889957" w14:textId="77777777" w:rsidR="00101978" w:rsidRDefault="00101978" w:rsidP="00101978">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1.</w:t>
            </w:r>
          </w:p>
        </w:tc>
        <w:tc>
          <w:tcPr>
            <w:tcW w:w="2217" w:type="dxa"/>
            <w:tcBorders>
              <w:top w:val="single" w:sz="4" w:space="0" w:color="auto"/>
              <w:left w:val="single" w:sz="4" w:space="0" w:color="auto"/>
              <w:bottom w:val="single" w:sz="4" w:space="0" w:color="auto"/>
              <w:right w:val="single" w:sz="4" w:space="0" w:color="auto"/>
            </w:tcBorders>
            <w:vAlign w:val="center"/>
            <w:hideMark/>
          </w:tcPr>
          <w:p w14:paraId="506F81F6" w14:textId="77777777" w:rsidR="00101978" w:rsidRDefault="00101978" w:rsidP="00101978">
            <w:pPr>
              <w:pStyle w:val="Odsekzoznamu"/>
              <w:tabs>
                <w:tab w:val="left" w:pos="300"/>
              </w:tabs>
              <w:spacing w:before="60"/>
              <w:ind w:left="0"/>
              <w:jc w:val="both"/>
              <w:rPr>
                <w:rFonts w:ascii="Arial Narrow" w:hAnsi="Arial Narrow"/>
                <w:sz w:val="22"/>
                <w:szCs w:val="22"/>
              </w:rPr>
            </w:pPr>
            <w:r>
              <w:rPr>
                <w:rFonts w:ascii="Arial Narrow" w:hAnsi="Arial Narrow"/>
                <w:sz w:val="22"/>
                <w:szCs w:val="22"/>
              </w:rPr>
              <w:t xml:space="preserve">Návleky na obuv vysoké </w:t>
            </w:r>
          </w:p>
        </w:tc>
        <w:tc>
          <w:tcPr>
            <w:tcW w:w="477" w:type="dxa"/>
            <w:tcBorders>
              <w:top w:val="single" w:sz="4" w:space="0" w:color="auto"/>
              <w:left w:val="single" w:sz="4" w:space="0" w:color="auto"/>
              <w:bottom w:val="single" w:sz="4" w:space="0" w:color="auto"/>
              <w:right w:val="single" w:sz="4" w:space="0" w:color="auto"/>
            </w:tcBorders>
            <w:vAlign w:val="center"/>
            <w:hideMark/>
          </w:tcPr>
          <w:p w14:paraId="60D9A5AA" w14:textId="54F09AE2" w:rsidR="00101978" w:rsidRDefault="00101978" w:rsidP="0010197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pár</w:t>
            </w:r>
          </w:p>
        </w:tc>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548CC" w14:textId="77777777" w:rsidR="00101978" w:rsidRDefault="00101978" w:rsidP="00101978">
            <w:pPr>
              <w:pStyle w:val="Odsekzoznamu"/>
              <w:tabs>
                <w:tab w:val="left" w:pos="300"/>
              </w:tabs>
              <w:spacing w:before="60" w:line="360" w:lineRule="auto"/>
              <w:ind w:left="0"/>
              <w:jc w:val="center"/>
              <w:rPr>
                <w:rFonts w:ascii="Arial Narrow" w:hAnsi="Arial Narrow"/>
                <w:sz w:val="22"/>
                <w:szCs w:val="22"/>
              </w:rPr>
            </w:pPr>
            <w:r w:rsidRPr="00101978">
              <w:rPr>
                <w:rFonts w:ascii="Arial Narrow" w:hAnsi="Arial Narrow"/>
                <w:sz w:val="22"/>
                <w:szCs w:val="22"/>
              </w:rPr>
              <w:t>do dvadsaťjeden (21) kalendárnych dní</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DB66C02" w14:textId="1E1080B6" w:rsidR="00101978" w:rsidRDefault="00101978" w:rsidP="0010197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40 000</w:t>
            </w:r>
          </w:p>
        </w:tc>
      </w:tr>
      <w:tr w:rsidR="00101978" w14:paraId="192FDF4E" w14:textId="77777777" w:rsidTr="00101978">
        <w:tc>
          <w:tcPr>
            <w:tcW w:w="726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1BA604" w14:textId="77777777" w:rsidR="00101978" w:rsidRDefault="00101978" w:rsidP="00101978">
            <w:pPr>
              <w:pStyle w:val="Odsekzoznamu"/>
              <w:tabs>
                <w:tab w:val="left" w:pos="300"/>
              </w:tabs>
              <w:spacing w:before="60" w:line="360" w:lineRule="auto"/>
              <w:ind w:left="0"/>
              <w:jc w:val="both"/>
              <w:rPr>
                <w:rFonts w:ascii="Arial Narrow" w:hAnsi="Arial Narrow"/>
                <w:sz w:val="22"/>
                <w:szCs w:val="22"/>
              </w:rPr>
            </w:pPr>
            <w:r>
              <w:rPr>
                <w:rFonts w:ascii="Arial Narrow" w:hAnsi="Arial Narrow"/>
                <w:b/>
                <w:sz w:val="22"/>
                <w:szCs w:val="22"/>
              </w:rPr>
              <w:t>Spolu</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5BCDB24" w14:textId="3DBE0E60" w:rsidR="00101978" w:rsidRDefault="00101978" w:rsidP="00101978">
            <w:pPr>
              <w:pStyle w:val="Odsekzoznamu"/>
              <w:tabs>
                <w:tab w:val="left" w:pos="300"/>
              </w:tabs>
              <w:spacing w:before="60" w:line="360" w:lineRule="auto"/>
              <w:ind w:left="0"/>
              <w:jc w:val="right"/>
              <w:rPr>
                <w:rFonts w:ascii="Arial Narrow" w:hAnsi="Arial Narrow"/>
                <w:b/>
                <w:sz w:val="22"/>
                <w:szCs w:val="22"/>
              </w:rPr>
            </w:pPr>
            <w:r>
              <w:rPr>
                <w:rFonts w:ascii="Arial Narrow" w:hAnsi="Arial Narrow"/>
                <w:sz w:val="22"/>
                <w:szCs w:val="22"/>
              </w:rPr>
              <w:t>40 000</w:t>
            </w:r>
          </w:p>
        </w:tc>
      </w:tr>
    </w:tbl>
    <w:p w14:paraId="54F34AB7" w14:textId="77777777" w:rsidR="00767083" w:rsidRDefault="00767083" w:rsidP="00767083">
      <w:pPr>
        <w:pStyle w:val="Odsekzoznamu"/>
        <w:spacing w:after="240" w:line="276" w:lineRule="auto"/>
        <w:ind w:left="567"/>
        <w:jc w:val="both"/>
        <w:rPr>
          <w:rFonts w:ascii="Arial Narrow" w:eastAsia="Times" w:hAnsi="Arial Narrow"/>
          <w:sz w:val="22"/>
          <w:szCs w:val="22"/>
        </w:rPr>
      </w:pPr>
    </w:p>
    <w:p w14:paraId="14862434" w14:textId="77777777" w:rsidR="00767083" w:rsidRPr="00BA03AF" w:rsidRDefault="00767083" w:rsidP="00767083">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79278A92" w14:textId="77777777" w:rsidR="00767083" w:rsidRPr="00952ACA"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7CFBFF44" w14:textId="77777777" w:rsidR="00767083" w:rsidRPr="00BA03AF"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6A7CDA32" w14:textId="77777777" w:rsidR="00767083" w:rsidRPr="00BA03AF"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52CBB22A" w14:textId="77777777" w:rsidR="00767083" w:rsidRPr="008F2460" w:rsidRDefault="00767083" w:rsidP="0076708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6B7ED4B7" w14:textId="77777777" w:rsidR="00767083" w:rsidRPr="00BD706E" w:rsidRDefault="00767083" w:rsidP="0076708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BB35A0D" w14:textId="77777777" w:rsidR="00767083" w:rsidRPr="00BA03AF" w:rsidRDefault="00767083" w:rsidP="00767083">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2A92A261" w14:textId="77777777" w:rsidR="00767083" w:rsidRPr="00BA03AF" w:rsidRDefault="00767083" w:rsidP="00767083">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566C2E3E" w14:textId="77777777" w:rsidR="00767083" w:rsidRPr="00BA03AF" w:rsidRDefault="00767083" w:rsidP="0076708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0F36D38C" w14:textId="77777777" w:rsidR="00767083" w:rsidRPr="00BA03AF" w:rsidRDefault="00767083" w:rsidP="0076708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455E5F3A" w14:textId="77777777" w:rsidR="00767083" w:rsidRPr="00BA03AF" w:rsidRDefault="00767083" w:rsidP="00767083">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507804D8" w14:textId="77777777" w:rsidR="00767083" w:rsidRPr="00BA03AF" w:rsidRDefault="00767083" w:rsidP="00767083">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275EA4F7" w14:textId="77777777" w:rsidR="00767083" w:rsidRPr="00BA03AF" w:rsidRDefault="00767083" w:rsidP="0076708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74EB710B" w14:textId="77777777" w:rsidR="00767083" w:rsidRPr="00BA03AF" w:rsidRDefault="00767083" w:rsidP="0076708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075CA09F" w14:textId="77777777" w:rsidR="00767083" w:rsidRPr="00BA03AF" w:rsidRDefault="00767083" w:rsidP="00767083">
      <w:pPr>
        <w:autoSpaceDE w:val="0"/>
        <w:autoSpaceDN w:val="0"/>
        <w:adjustRightInd w:val="0"/>
        <w:spacing w:line="276" w:lineRule="auto"/>
        <w:rPr>
          <w:rFonts w:ascii="Arial Narrow" w:hAnsi="Arial Narrow"/>
          <w:b/>
          <w:bCs/>
          <w:sz w:val="22"/>
          <w:szCs w:val="22"/>
          <w:lang w:eastAsia="sk-SK"/>
        </w:rPr>
      </w:pPr>
    </w:p>
    <w:p w14:paraId="078A9D5A" w14:textId="77777777" w:rsidR="00767083" w:rsidRPr="00BA03AF" w:rsidRDefault="00767083" w:rsidP="00767083">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BC331E7"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A5E4B34"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4E77CD1A"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650435A9"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6D8B7EB7" w14:textId="77777777" w:rsidR="00767083" w:rsidRPr="00BA03AF" w:rsidRDefault="00767083" w:rsidP="00767083">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1B892905" w14:textId="77777777" w:rsidR="00767083" w:rsidRPr="00BA03AF"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77F76613" w14:textId="77777777" w:rsidR="00767083" w:rsidRPr="00BA03AF"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lastRenderedPageBreak/>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6913EF1F" w14:textId="77777777" w:rsidR="00767083" w:rsidRPr="00BA03AF" w:rsidRDefault="00767083" w:rsidP="00767083">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3CC95ACB" w14:textId="77777777" w:rsidR="00767083" w:rsidRPr="00910E9B"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13ACF21E"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6CD1309A"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30427DA1" w14:textId="77777777" w:rsidR="00767083" w:rsidRPr="00BA03AF" w:rsidRDefault="00767083" w:rsidP="0076708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01DA62BB" w14:textId="77777777" w:rsidR="00767083" w:rsidRPr="00C67F3E" w:rsidRDefault="00767083" w:rsidP="0076708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320A6039"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531A3EB4"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30E4619F"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4481EF9F" w14:textId="77777777" w:rsidR="00767083" w:rsidRPr="00F37265"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47D27EF4"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15D2876"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1DE61E32" w14:textId="77777777" w:rsidR="00767083" w:rsidRPr="00C0284E"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0212A39" w14:textId="77777777"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335DA02E" w14:textId="77777777"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29D6C587"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X</w:t>
      </w:r>
    </w:p>
    <w:p w14:paraId="2F648417"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3E2C3B1A"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1E418A1"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691BD91"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0223ECB" w14:textId="77777777" w:rsidR="00767083" w:rsidRPr="008F2460"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3CCFA06D" w14:textId="77777777" w:rsidR="00767083" w:rsidRPr="003B0F68"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044A55A9" w14:textId="77777777" w:rsidR="00767083" w:rsidRPr="003B0F68"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32C4F103" w14:textId="77777777" w:rsidR="00767083" w:rsidRPr="00BA03AF"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85ED7E8" w14:textId="77777777" w:rsidR="00767083" w:rsidRPr="00540F56"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798DB49F"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4C5733B1"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4866F7EC" w14:textId="77777777" w:rsidR="00767083" w:rsidRPr="00BA03AF"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314204C8" w14:textId="77777777" w:rsidR="00767083" w:rsidRPr="00BA03AF" w:rsidRDefault="00767083" w:rsidP="00767083">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4CBE43A6" w14:textId="77777777" w:rsidR="00767083" w:rsidRDefault="00767083" w:rsidP="00767083">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3A360CB9" w14:textId="77777777" w:rsidR="00767083" w:rsidRPr="00D8221B" w:rsidRDefault="00767083" w:rsidP="00767083">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4692F1BE" w14:textId="77777777" w:rsidR="00767083" w:rsidRPr="00BA03AF" w:rsidRDefault="00767083" w:rsidP="0076708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0E50EC61" w14:textId="77777777" w:rsidR="00767083" w:rsidRPr="00BA03AF" w:rsidRDefault="00767083" w:rsidP="00767083">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5188FD5C" w14:textId="77777777" w:rsidR="00767083" w:rsidRPr="00BA03AF" w:rsidRDefault="00767083" w:rsidP="00767083">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0F6C8E23" w14:textId="77777777" w:rsidR="00767083" w:rsidRDefault="00767083" w:rsidP="00767083">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529594C7" w14:textId="77777777" w:rsidR="00767083" w:rsidRPr="00BA03AF" w:rsidRDefault="00767083" w:rsidP="00767083">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4F797BBF" w14:textId="77777777" w:rsidR="00767083" w:rsidRPr="00E604F9"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028D25FB" w14:textId="77777777" w:rsidR="00767083" w:rsidRDefault="00767083" w:rsidP="00767083">
      <w:pPr>
        <w:pStyle w:val="Zkladntext3"/>
        <w:overflowPunct w:val="0"/>
        <w:autoSpaceDE w:val="0"/>
        <w:ind w:left="567"/>
        <w:textAlignment w:val="baseline"/>
        <w:rPr>
          <w:rFonts w:ascii="Arial Narrow" w:eastAsia="Calibri" w:hAnsi="Arial Narrow" w:cs="Times New Roman"/>
          <w:sz w:val="22"/>
          <w:szCs w:val="22"/>
          <w:lang w:eastAsia="en-US"/>
        </w:rPr>
      </w:pPr>
    </w:p>
    <w:p w14:paraId="7BF6CE9E" w14:textId="77777777" w:rsidR="00767083" w:rsidRPr="00BA03AF"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6618BB2" w14:textId="77777777" w:rsidR="00767083" w:rsidRPr="00BA03AF" w:rsidRDefault="00767083" w:rsidP="0076708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73905A8" w14:textId="77777777" w:rsidR="00767083" w:rsidRPr="006E1029" w:rsidRDefault="00767083" w:rsidP="0076708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519AB747" w14:textId="77777777" w:rsidR="00767083" w:rsidRPr="00BA03AF" w:rsidRDefault="00767083" w:rsidP="0076708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3775EFF1" w14:textId="77777777" w:rsidR="00767083" w:rsidRPr="00BA03AF" w:rsidRDefault="00767083" w:rsidP="0076708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4282BF86" w14:textId="77777777" w:rsidR="00767083" w:rsidRPr="00BA03AF" w:rsidRDefault="00767083" w:rsidP="00767083">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CFA62C1" w14:textId="77777777" w:rsidR="00767083" w:rsidRPr="00BA03AF" w:rsidRDefault="00767083" w:rsidP="0076708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1CAB4F3F" w14:textId="77777777" w:rsidR="00767083" w:rsidRPr="00BA03AF" w:rsidRDefault="00767083" w:rsidP="00767083">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730BE226" w14:textId="77777777"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29EFC9D6"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6F1EDE4C"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0E42F55C"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9CB85B1" w14:textId="77777777" w:rsidR="00767083" w:rsidRPr="00BA03AF" w:rsidRDefault="00767083" w:rsidP="00767083">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4FD4A4C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2BC2391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5514F62E"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20351FD9" w14:textId="77777777" w:rsidR="00767083" w:rsidRPr="00BA03AF" w:rsidRDefault="00767083" w:rsidP="00767083">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31139935" w14:textId="77777777" w:rsidR="00767083" w:rsidRPr="00BA03AF" w:rsidRDefault="00767083" w:rsidP="00767083">
      <w:pPr>
        <w:pStyle w:val="Odsekzoznamu"/>
        <w:ind w:left="567"/>
        <w:jc w:val="both"/>
        <w:rPr>
          <w:rFonts w:ascii="Arial Narrow" w:eastAsia="Calibri" w:hAnsi="Arial Narrow" w:cs="Times New Roman"/>
          <w:sz w:val="22"/>
          <w:szCs w:val="22"/>
          <w:lang w:eastAsia="en-US"/>
        </w:rPr>
      </w:pPr>
    </w:p>
    <w:p w14:paraId="57E943C5" w14:textId="77777777" w:rsidR="00767083" w:rsidRPr="00BA03AF" w:rsidRDefault="00767083" w:rsidP="00767083">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2AD9BB4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7DF25D0B"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55E86F6C"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510768F6" w14:textId="77777777" w:rsidR="00767083" w:rsidRPr="00BA03AF" w:rsidRDefault="00767083" w:rsidP="00767083">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24528055"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0C1203FD"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2A2FC2D9"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0552D2AE" w14:textId="77777777" w:rsidR="00767083" w:rsidRPr="00BA03AF" w:rsidRDefault="00767083" w:rsidP="00767083">
      <w:pPr>
        <w:spacing w:line="228" w:lineRule="auto"/>
        <w:ind w:right="21"/>
        <w:jc w:val="both"/>
        <w:rPr>
          <w:rFonts w:ascii="Arial Narrow" w:hAnsi="Arial Narrow"/>
          <w:sz w:val="22"/>
          <w:szCs w:val="22"/>
        </w:rPr>
      </w:pPr>
    </w:p>
    <w:p w14:paraId="55691A80" w14:textId="77777777" w:rsidR="00767083" w:rsidRPr="00BA03AF" w:rsidRDefault="00767083" w:rsidP="00767083">
      <w:pPr>
        <w:spacing w:line="228" w:lineRule="auto"/>
        <w:ind w:right="21"/>
        <w:jc w:val="both"/>
        <w:rPr>
          <w:rFonts w:ascii="Arial Narrow" w:hAnsi="Arial Narrow"/>
          <w:sz w:val="22"/>
          <w:szCs w:val="22"/>
        </w:rPr>
      </w:pPr>
    </w:p>
    <w:p w14:paraId="3C2A90AB" w14:textId="77777777" w:rsidR="00767083" w:rsidRPr="00BA03AF" w:rsidRDefault="00767083" w:rsidP="00767083">
      <w:pPr>
        <w:spacing w:line="228" w:lineRule="auto"/>
        <w:ind w:right="21"/>
        <w:jc w:val="both"/>
        <w:rPr>
          <w:rFonts w:ascii="Arial Narrow" w:hAnsi="Arial Narrow"/>
          <w:sz w:val="22"/>
          <w:szCs w:val="22"/>
        </w:rPr>
      </w:pPr>
    </w:p>
    <w:p w14:paraId="47FCC6BD" w14:textId="77777777" w:rsidR="00767083" w:rsidRPr="00BA03AF" w:rsidRDefault="00767083" w:rsidP="00767083">
      <w:pPr>
        <w:spacing w:line="228" w:lineRule="auto"/>
        <w:ind w:right="21"/>
        <w:jc w:val="both"/>
        <w:rPr>
          <w:rFonts w:ascii="Arial Narrow" w:hAnsi="Arial Narrow"/>
          <w:sz w:val="22"/>
          <w:szCs w:val="22"/>
        </w:rPr>
      </w:pPr>
    </w:p>
    <w:p w14:paraId="4761199A" w14:textId="77777777" w:rsidR="00767083" w:rsidRPr="00BA03AF" w:rsidRDefault="00767083" w:rsidP="00767083">
      <w:pPr>
        <w:spacing w:line="228" w:lineRule="auto"/>
        <w:ind w:right="21"/>
        <w:jc w:val="both"/>
        <w:rPr>
          <w:rFonts w:ascii="Arial Narrow" w:hAnsi="Arial Narrow"/>
          <w:sz w:val="22"/>
          <w:szCs w:val="22"/>
        </w:rPr>
      </w:pPr>
    </w:p>
    <w:p w14:paraId="731FF3B9"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BD5E4B0" w14:textId="77777777" w:rsidR="00767083" w:rsidRPr="00BA03AF" w:rsidRDefault="00767083" w:rsidP="00767083">
      <w:pPr>
        <w:spacing w:line="228" w:lineRule="auto"/>
        <w:ind w:right="21"/>
        <w:jc w:val="both"/>
        <w:rPr>
          <w:rFonts w:ascii="Arial Narrow" w:hAnsi="Arial Narrow"/>
          <w:sz w:val="22"/>
          <w:szCs w:val="22"/>
        </w:rPr>
      </w:pPr>
    </w:p>
    <w:p w14:paraId="47B2FDBE" w14:textId="77777777" w:rsidR="00767083" w:rsidRPr="00BA03AF" w:rsidRDefault="00767083" w:rsidP="00767083">
      <w:pPr>
        <w:spacing w:line="228" w:lineRule="auto"/>
        <w:ind w:right="21"/>
        <w:jc w:val="both"/>
        <w:rPr>
          <w:rFonts w:ascii="Arial Narrow" w:hAnsi="Arial Narrow"/>
          <w:sz w:val="22"/>
          <w:szCs w:val="22"/>
        </w:rPr>
      </w:pPr>
    </w:p>
    <w:p w14:paraId="38BD38A4"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4E32C484" w14:textId="77777777" w:rsidR="00767083" w:rsidRPr="00BA03AF" w:rsidRDefault="00767083" w:rsidP="00767083">
      <w:pPr>
        <w:spacing w:line="228" w:lineRule="auto"/>
        <w:ind w:right="21"/>
        <w:jc w:val="both"/>
        <w:rPr>
          <w:rFonts w:ascii="Arial Narrow" w:hAnsi="Arial Narrow"/>
          <w:sz w:val="22"/>
          <w:szCs w:val="22"/>
        </w:rPr>
      </w:pPr>
    </w:p>
    <w:p w14:paraId="0CA9ED19" w14:textId="77777777" w:rsidR="00767083" w:rsidRPr="00BA03AF" w:rsidRDefault="00767083" w:rsidP="00767083">
      <w:pPr>
        <w:spacing w:line="228" w:lineRule="auto"/>
        <w:ind w:right="21"/>
        <w:jc w:val="both"/>
        <w:rPr>
          <w:rFonts w:ascii="Arial Narrow" w:hAnsi="Arial Narrow"/>
          <w:sz w:val="22"/>
          <w:szCs w:val="22"/>
        </w:rPr>
      </w:pPr>
    </w:p>
    <w:p w14:paraId="6DF99632" w14:textId="77777777" w:rsidR="00767083" w:rsidRPr="00BA03AF" w:rsidRDefault="00767083" w:rsidP="00767083">
      <w:pPr>
        <w:spacing w:line="228" w:lineRule="auto"/>
        <w:ind w:right="21"/>
        <w:jc w:val="both"/>
        <w:rPr>
          <w:rFonts w:ascii="Arial Narrow" w:hAnsi="Arial Narrow"/>
          <w:sz w:val="22"/>
          <w:szCs w:val="22"/>
        </w:rPr>
      </w:pPr>
    </w:p>
    <w:p w14:paraId="1B03EC42"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08B6FA1" w14:textId="77777777" w:rsidR="00767083" w:rsidRPr="00BA03AF" w:rsidRDefault="00767083" w:rsidP="00767083">
      <w:pPr>
        <w:spacing w:line="228" w:lineRule="auto"/>
        <w:ind w:right="21"/>
        <w:jc w:val="both"/>
        <w:rPr>
          <w:rFonts w:ascii="Arial Narrow" w:hAnsi="Arial Narrow"/>
          <w:sz w:val="22"/>
          <w:szCs w:val="22"/>
        </w:rPr>
      </w:pPr>
    </w:p>
    <w:p w14:paraId="00462A31"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1ECD3DD8"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2CA549B" w14:textId="77777777" w:rsidR="00767083" w:rsidRPr="00BA03AF" w:rsidRDefault="00767083" w:rsidP="00767083">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71C972C" w14:textId="77777777" w:rsidR="00767083" w:rsidRDefault="00767083" w:rsidP="00767083">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4EE05D28" w14:textId="77777777" w:rsidR="00767083" w:rsidRDefault="00767083" w:rsidP="00767083">
      <w:pPr>
        <w:jc w:val="both"/>
        <w:rPr>
          <w:rFonts w:ascii="Arial Narrow" w:hAnsi="Arial Narrow"/>
          <w:sz w:val="22"/>
          <w:szCs w:val="22"/>
        </w:rPr>
      </w:pPr>
    </w:p>
    <w:p w14:paraId="1062B02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350BD1B5" w14:textId="77777777" w:rsidR="00767083" w:rsidRPr="00BA03AF" w:rsidRDefault="00767083" w:rsidP="00767083">
      <w:pPr>
        <w:jc w:val="both"/>
        <w:rPr>
          <w:rFonts w:ascii="Arial Narrow" w:hAnsi="Arial Narrow"/>
          <w:b/>
          <w:sz w:val="22"/>
          <w:szCs w:val="22"/>
        </w:rPr>
      </w:pPr>
    </w:p>
    <w:p w14:paraId="2178DFED"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ZÁKLADNÉ POŽIADAVKY:</w:t>
      </w:r>
    </w:p>
    <w:p w14:paraId="064ACA1A" w14:textId="42B23807" w:rsidR="00767083" w:rsidRPr="00CF6DF9" w:rsidRDefault="00767083" w:rsidP="00CF6DF9">
      <w:pPr>
        <w:jc w:val="both"/>
        <w:rPr>
          <w:rFonts w:ascii="Arial Narrow" w:hAnsi="Arial Narrow"/>
          <w:sz w:val="22"/>
          <w:szCs w:val="22"/>
        </w:rPr>
      </w:pPr>
    </w:p>
    <w:p w14:paraId="275834CB" w14:textId="5B2F6196" w:rsidR="007C4310" w:rsidRPr="00101978" w:rsidRDefault="007C4310" w:rsidP="007C4310">
      <w:pPr>
        <w:pStyle w:val="Odsekzoznamu"/>
        <w:numPr>
          <w:ilvl w:val="0"/>
          <w:numId w:val="42"/>
        </w:numPr>
        <w:jc w:val="both"/>
        <w:rPr>
          <w:rFonts w:ascii="Arial Narrow" w:hAnsi="Arial Narrow"/>
          <w:sz w:val="22"/>
          <w:szCs w:val="22"/>
        </w:rPr>
      </w:pPr>
      <w:r w:rsidRPr="00101978">
        <w:rPr>
          <w:rFonts w:ascii="Arial Narrow" w:hAnsi="Arial Narrow"/>
          <w:sz w:val="22"/>
          <w:szCs w:val="22"/>
        </w:rPr>
        <w:t>Návleky na obuv vysoké – ako príslušenstvo k Ochrannému odevu v kategórii 1./b.</w:t>
      </w:r>
    </w:p>
    <w:p w14:paraId="7E38057C" w14:textId="6DE939B8" w:rsidR="00767083" w:rsidRPr="00101978" w:rsidRDefault="00767083" w:rsidP="00767083">
      <w:pPr>
        <w:pStyle w:val="Odsekzoznamu"/>
        <w:numPr>
          <w:ilvl w:val="0"/>
          <w:numId w:val="42"/>
        </w:numPr>
        <w:jc w:val="both"/>
        <w:rPr>
          <w:rFonts w:ascii="Arial Narrow" w:hAnsi="Arial Narrow"/>
          <w:sz w:val="22"/>
          <w:szCs w:val="22"/>
        </w:rPr>
      </w:pPr>
      <w:r w:rsidRPr="00101978">
        <w:rPr>
          <w:rFonts w:ascii="Arial Narrow" w:hAnsi="Arial Narrow"/>
          <w:sz w:val="22"/>
          <w:szCs w:val="22"/>
        </w:rPr>
        <w:t xml:space="preserve">Ochranné návleky vyrobené z laminovaného, </w:t>
      </w:r>
      <w:proofErr w:type="spellStart"/>
      <w:r w:rsidRPr="00101978">
        <w:rPr>
          <w:rFonts w:ascii="Arial Narrow" w:hAnsi="Arial Narrow"/>
          <w:sz w:val="22"/>
          <w:szCs w:val="22"/>
        </w:rPr>
        <w:t>mikroporézneho</w:t>
      </w:r>
      <w:proofErr w:type="spellEnd"/>
      <w:r w:rsidRPr="00101978">
        <w:rPr>
          <w:rFonts w:ascii="Arial Narrow" w:hAnsi="Arial Narrow"/>
          <w:sz w:val="22"/>
          <w:szCs w:val="22"/>
        </w:rPr>
        <w:t xml:space="preserve"> netkaného materiálu. </w:t>
      </w:r>
    </w:p>
    <w:p w14:paraId="46375AAB" w14:textId="77777777" w:rsidR="00767083" w:rsidRPr="00101978" w:rsidRDefault="00767083" w:rsidP="00767083">
      <w:pPr>
        <w:pStyle w:val="Odsekzoznamu"/>
        <w:numPr>
          <w:ilvl w:val="0"/>
          <w:numId w:val="42"/>
        </w:numPr>
        <w:jc w:val="both"/>
        <w:rPr>
          <w:rFonts w:ascii="Arial Narrow" w:hAnsi="Arial Narrow"/>
          <w:sz w:val="22"/>
          <w:szCs w:val="22"/>
        </w:rPr>
      </w:pPr>
      <w:r w:rsidRPr="00101978">
        <w:rPr>
          <w:rFonts w:ascii="Arial Narrow" w:hAnsi="Arial Narrow"/>
          <w:sz w:val="22"/>
          <w:szCs w:val="22"/>
        </w:rPr>
        <w:t xml:space="preserve">Spĺňa ochranu voči obmedzenému postreku kvapalnými chemikáliami a prachom. </w:t>
      </w:r>
    </w:p>
    <w:p w14:paraId="549E2D02" w14:textId="77777777" w:rsidR="00767083" w:rsidRPr="00101978" w:rsidRDefault="00767083" w:rsidP="00767083">
      <w:pPr>
        <w:pStyle w:val="Odsekzoznamu"/>
        <w:numPr>
          <w:ilvl w:val="0"/>
          <w:numId w:val="42"/>
        </w:numPr>
        <w:jc w:val="both"/>
        <w:rPr>
          <w:rFonts w:ascii="Arial Narrow" w:hAnsi="Arial Narrow"/>
          <w:sz w:val="22"/>
          <w:szCs w:val="22"/>
        </w:rPr>
      </w:pPr>
      <w:r w:rsidRPr="00101978">
        <w:rPr>
          <w:rFonts w:ascii="Arial Narrow" w:hAnsi="Arial Narrow"/>
          <w:sz w:val="22"/>
          <w:szCs w:val="22"/>
        </w:rPr>
        <w:t xml:space="preserve">Antistatická ochranná vrstva a nepárajúca sa textília. </w:t>
      </w:r>
    </w:p>
    <w:p w14:paraId="53318C3A" w14:textId="77777777" w:rsidR="00767083" w:rsidRPr="00101978" w:rsidRDefault="00767083" w:rsidP="00767083">
      <w:pPr>
        <w:pStyle w:val="Odsekzoznamu"/>
        <w:numPr>
          <w:ilvl w:val="0"/>
          <w:numId w:val="42"/>
        </w:numPr>
        <w:jc w:val="both"/>
        <w:rPr>
          <w:rFonts w:ascii="Arial Narrow" w:hAnsi="Arial Narrow"/>
          <w:sz w:val="22"/>
          <w:szCs w:val="22"/>
        </w:rPr>
      </w:pPr>
      <w:r w:rsidRPr="00101978">
        <w:rPr>
          <w:rFonts w:ascii="Arial Narrow" w:hAnsi="Arial Narrow"/>
          <w:sz w:val="22"/>
          <w:szCs w:val="22"/>
        </w:rPr>
        <w:t>Elastická lýtková časť s gumou; podrážka odolná voči šmyku (</w:t>
      </w:r>
      <w:proofErr w:type="spellStart"/>
      <w:r w:rsidRPr="00101978">
        <w:rPr>
          <w:rFonts w:ascii="Arial Narrow" w:hAnsi="Arial Narrow"/>
          <w:sz w:val="22"/>
          <w:szCs w:val="22"/>
        </w:rPr>
        <w:t>protišmykovosť</w:t>
      </w:r>
      <w:proofErr w:type="spellEnd"/>
      <w:r w:rsidRPr="00101978">
        <w:rPr>
          <w:rFonts w:ascii="Arial Narrow" w:hAnsi="Arial Narrow"/>
          <w:sz w:val="22"/>
          <w:szCs w:val="22"/>
        </w:rPr>
        <w:t xml:space="preserve">) </w:t>
      </w:r>
    </w:p>
    <w:p w14:paraId="2EDD797E" w14:textId="77777777" w:rsidR="00767083" w:rsidRPr="00101978" w:rsidRDefault="00767083" w:rsidP="00767083">
      <w:pPr>
        <w:pStyle w:val="Odsekzoznamu"/>
        <w:numPr>
          <w:ilvl w:val="0"/>
          <w:numId w:val="42"/>
        </w:numPr>
        <w:jc w:val="both"/>
        <w:rPr>
          <w:rFonts w:ascii="Arial Narrow" w:hAnsi="Arial Narrow"/>
          <w:sz w:val="22"/>
          <w:szCs w:val="22"/>
        </w:rPr>
      </w:pPr>
      <w:r w:rsidRPr="00101978">
        <w:rPr>
          <w:rFonts w:ascii="Arial Narrow" w:hAnsi="Arial Narrow"/>
          <w:sz w:val="22"/>
          <w:szCs w:val="22"/>
        </w:rPr>
        <w:t xml:space="preserve">Univerzálna veľkosť so šnúrkami pre prispôsobenie používateľovi. </w:t>
      </w:r>
    </w:p>
    <w:p w14:paraId="018AAA3F" w14:textId="77777777" w:rsidR="00767083" w:rsidRPr="00101978" w:rsidRDefault="00767083" w:rsidP="00767083">
      <w:pPr>
        <w:pStyle w:val="Odsekzoznamu"/>
        <w:numPr>
          <w:ilvl w:val="0"/>
          <w:numId w:val="42"/>
        </w:numPr>
        <w:jc w:val="both"/>
        <w:rPr>
          <w:rFonts w:ascii="Arial Narrow" w:hAnsi="Arial Narrow"/>
          <w:sz w:val="22"/>
          <w:szCs w:val="22"/>
        </w:rPr>
      </w:pPr>
      <w:r w:rsidRPr="00101978">
        <w:rPr>
          <w:rFonts w:ascii="Arial Narrow" w:hAnsi="Arial Narrow"/>
          <w:sz w:val="22"/>
          <w:szCs w:val="22"/>
        </w:rPr>
        <w:t>Minimálna životnosť výrobku: 36 mesiacov</w:t>
      </w:r>
    </w:p>
    <w:p w14:paraId="3FB1F3B3" w14:textId="77777777" w:rsidR="00767083" w:rsidRPr="00BA03AF" w:rsidRDefault="00767083" w:rsidP="00767083">
      <w:pPr>
        <w:jc w:val="both"/>
        <w:rPr>
          <w:rFonts w:ascii="Arial Narrow" w:hAnsi="Arial Narrow"/>
          <w:sz w:val="22"/>
          <w:szCs w:val="22"/>
        </w:rPr>
      </w:pPr>
    </w:p>
    <w:p w14:paraId="28DEF871" w14:textId="77777777" w:rsidR="00767083" w:rsidRPr="00BA03AF" w:rsidRDefault="00767083" w:rsidP="00767083">
      <w:pPr>
        <w:jc w:val="both"/>
        <w:rPr>
          <w:rFonts w:ascii="Arial Narrow" w:hAnsi="Arial Narrow"/>
          <w:sz w:val="22"/>
          <w:szCs w:val="22"/>
        </w:rPr>
      </w:pPr>
    </w:p>
    <w:p w14:paraId="0CEDC0E6" w14:textId="77777777" w:rsidR="00767083" w:rsidRPr="00BA03AF" w:rsidRDefault="00767083" w:rsidP="00767083">
      <w:pPr>
        <w:jc w:val="both"/>
        <w:rPr>
          <w:rFonts w:ascii="Arial Narrow" w:hAnsi="Arial Narrow"/>
          <w:sz w:val="22"/>
          <w:szCs w:val="22"/>
        </w:rPr>
      </w:pPr>
    </w:p>
    <w:p w14:paraId="180DF3BA" w14:textId="77777777" w:rsidR="00767083" w:rsidRPr="00BA03AF" w:rsidRDefault="00767083" w:rsidP="00767083">
      <w:pPr>
        <w:jc w:val="both"/>
        <w:rPr>
          <w:rFonts w:ascii="Arial Narrow" w:hAnsi="Arial Narrow"/>
          <w:sz w:val="22"/>
          <w:szCs w:val="22"/>
        </w:rPr>
      </w:pPr>
    </w:p>
    <w:p w14:paraId="6A4BD493" w14:textId="77777777" w:rsidR="00767083" w:rsidRPr="00BA03AF" w:rsidRDefault="00767083" w:rsidP="00767083">
      <w:pPr>
        <w:jc w:val="both"/>
        <w:rPr>
          <w:rFonts w:ascii="Arial Narrow" w:hAnsi="Arial Narrow"/>
          <w:sz w:val="22"/>
          <w:szCs w:val="22"/>
        </w:rPr>
      </w:pPr>
      <w:bookmarkStart w:id="0" w:name="_GoBack"/>
      <w:bookmarkEnd w:id="0"/>
    </w:p>
    <w:p w14:paraId="7A26F978" w14:textId="77777777" w:rsidR="00767083" w:rsidRPr="00BA03AF" w:rsidRDefault="00767083" w:rsidP="00767083">
      <w:pPr>
        <w:jc w:val="both"/>
        <w:rPr>
          <w:rFonts w:ascii="Arial Narrow" w:hAnsi="Arial Narrow"/>
          <w:sz w:val="22"/>
          <w:szCs w:val="22"/>
        </w:rPr>
      </w:pPr>
    </w:p>
    <w:p w14:paraId="443D6A47" w14:textId="77777777" w:rsidR="00767083" w:rsidRPr="00BA03AF" w:rsidRDefault="00767083" w:rsidP="00767083">
      <w:pPr>
        <w:jc w:val="both"/>
        <w:rPr>
          <w:rFonts w:ascii="Arial Narrow" w:hAnsi="Arial Narrow"/>
          <w:sz w:val="22"/>
          <w:szCs w:val="22"/>
        </w:rPr>
      </w:pPr>
    </w:p>
    <w:p w14:paraId="0322FF09" w14:textId="77777777" w:rsidR="00767083" w:rsidRPr="00BA03AF" w:rsidRDefault="00767083" w:rsidP="00767083">
      <w:pPr>
        <w:jc w:val="both"/>
        <w:rPr>
          <w:rFonts w:ascii="Arial Narrow" w:hAnsi="Arial Narrow"/>
          <w:sz w:val="22"/>
          <w:szCs w:val="22"/>
        </w:rPr>
      </w:pPr>
    </w:p>
    <w:p w14:paraId="709EBC8E" w14:textId="77777777" w:rsidR="00767083" w:rsidRPr="00BA03AF" w:rsidRDefault="00767083" w:rsidP="00767083">
      <w:pPr>
        <w:jc w:val="both"/>
        <w:rPr>
          <w:rFonts w:ascii="Arial Narrow" w:hAnsi="Arial Narrow"/>
          <w:sz w:val="22"/>
          <w:szCs w:val="22"/>
        </w:rPr>
      </w:pPr>
    </w:p>
    <w:p w14:paraId="14B48DF3" w14:textId="77777777" w:rsidR="00767083" w:rsidRPr="00BA03AF" w:rsidRDefault="00767083" w:rsidP="00767083">
      <w:pPr>
        <w:jc w:val="both"/>
        <w:rPr>
          <w:rFonts w:ascii="Arial Narrow" w:hAnsi="Arial Narrow"/>
          <w:sz w:val="22"/>
          <w:szCs w:val="22"/>
        </w:rPr>
      </w:pPr>
    </w:p>
    <w:p w14:paraId="6DB65F25" w14:textId="77777777" w:rsidR="00767083" w:rsidRPr="00BA03AF" w:rsidRDefault="00767083" w:rsidP="00767083">
      <w:pPr>
        <w:jc w:val="both"/>
        <w:rPr>
          <w:rFonts w:ascii="Arial Narrow" w:hAnsi="Arial Narrow"/>
          <w:sz w:val="22"/>
          <w:szCs w:val="22"/>
        </w:rPr>
      </w:pPr>
    </w:p>
    <w:p w14:paraId="086CED4E" w14:textId="77777777" w:rsidR="00767083" w:rsidRPr="00BA03AF" w:rsidRDefault="00767083" w:rsidP="00767083">
      <w:pPr>
        <w:jc w:val="both"/>
        <w:rPr>
          <w:rFonts w:ascii="Arial Narrow" w:hAnsi="Arial Narrow"/>
          <w:sz w:val="22"/>
          <w:szCs w:val="22"/>
        </w:rPr>
      </w:pPr>
    </w:p>
    <w:p w14:paraId="55D87B50" w14:textId="77777777" w:rsidR="00767083" w:rsidRPr="00BA03AF" w:rsidRDefault="00767083" w:rsidP="00767083">
      <w:pPr>
        <w:jc w:val="both"/>
        <w:rPr>
          <w:rFonts w:ascii="Arial Narrow" w:hAnsi="Arial Narrow"/>
          <w:sz w:val="22"/>
          <w:szCs w:val="22"/>
        </w:rPr>
      </w:pPr>
    </w:p>
    <w:p w14:paraId="6CFF8BD2" w14:textId="77777777" w:rsidR="00767083" w:rsidRPr="00BA03AF" w:rsidRDefault="00767083" w:rsidP="00767083">
      <w:pPr>
        <w:jc w:val="both"/>
        <w:rPr>
          <w:rFonts w:ascii="Arial Narrow" w:hAnsi="Arial Narrow"/>
          <w:sz w:val="22"/>
          <w:szCs w:val="22"/>
        </w:rPr>
      </w:pPr>
    </w:p>
    <w:p w14:paraId="22A3D660" w14:textId="77777777" w:rsidR="00767083" w:rsidRPr="00BA03AF" w:rsidRDefault="00767083" w:rsidP="00767083">
      <w:pPr>
        <w:jc w:val="both"/>
        <w:rPr>
          <w:rFonts w:ascii="Arial Narrow" w:hAnsi="Arial Narrow"/>
          <w:sz w:val="22"/>
          <w:szCs w:val="22"/>
        </w:rPr>
      </w:pPr>
    </w:p>
    <w:p w14:paraId="0263E7B0" w14:textId="77777777" w:rsidR="00767083" w:rsidRPr="00BA03AF" w:rsidRDefault="00767083" w:rsidP="00767083">
      <w:pPr>
        <w:jc w:val="both"/>
        <w:rPr>
          <w:rFonts w:ascii="Arial Narrow" w:hAnsi="Arial Narrow"/>
          <w:sz w:val="22"/>
          <w:szCs w:val="22"/>
        </w:rPr>
      </w:pPr>
    </w:p>
    <w:p w14:paraId="4DBBF100" w14:textId="77777777" w:rsidR="00767083" w:rsidRPr="00BA03AF" w:rsidRDefault="00767083" w:rsidP="00767083">
      <w:pPr>
        <w:jc w:val="both"/>
        <w:rPr>
          <w:rFonts w:ascii="Arial Narrow" w:hAnsi="Arial Narrow"/>
          <w:sz w:val="22"/>
          <w:szCs w:val="22"/>
        </w:rPr>
      </w:pPr>
    </w:p>
    <w:p w14:paraId="3E197155" w14:textId="77777777" w:rsidR="00767083" w:rsidRPr="00BA03AF" w:rsidRDefault="00767083" w:rsidP="00767083">
      <w:pPr>
        <w:jc w:val="both"/>
        <w:rPr>
          <w:rFonts w:ascii="Arial Narrow" w:hAnsi="Arial Narrow"/>
          <w:sz w:val="22"/>
          <w:szCs w:val="22"/>
        </w:rPr>
      </w:pPr>
    </w:p>
    <w:p w14:paraId="711D9CAC" w14:textId="77777777" w:rsidR="00767083" w:rsidRPr="00BA03AF" w:rsidRDefault="00767083" w:rsidP="00767083">
      <w:pPr>
        <w:jc w:val="both"/>
        <w:rPr>
          <w:rFonts w:ascii="Arial Narrow" w:hAnsi="Arial Narrow"/>
          <w:sz w:val="22"/>
          <w:szCs w:val="22"/>
        </w:rPr>
      </w:pPr>
    </w:p>
    <w:p w14:paraId="181067AD" w14:textId="77777777" w:rsidR="00767083" w:rsidRPr="00BA03AF" w:rsidRDefault="00767083" w:rsidP="00767083">
      <w:pPr>
        <w:jc w:val="both"/>
        <w:rPr>
          <w:rFonts w:ascii="Arial Narrow" w:hAnsi="Arial Narrow"/>
          <w:sz w:val="22"/>
          <w:szCs w:val="22"/>
        </w:rPr>
      </w:pPr>
    </w:p>
    <w:p w14:paraId="48660E9F" w14:textId="77777777" w:rsidR="00767083" w:rsidRDefault="00767083" w:rsidP="00767083">
      <w:pPr>
        <w:jc w:val="both"/>
        <w:rPr>
          <w:rFonts w:ascii="Arial Narrow" w:hAnsi="Arial Narrow"/>
          <w:sz w:val="22"/>
          <w:szCs w:val="22"/>
        </w:rPr>
      </w:pPr>
    </w:p>
    <w:p w14:paraId="0E4BBB23" w14:textId="77777777" w:rsidR="00767083" w:rsidRDefault="00767083" w:rsidP="00767083">
      <w:pPr>
        <w:jc w:val="both"/>
        <w:rPr>
          <w:rFonts w:ascii="Arial Narrow" w:hAnsi="Arial Narrow"/>
          <w:sz w:val="22"/>
          <w:szCs w:val="22"/>
        </w:rPr>
      </w:pPr>
    </w:p>
    <w:p w14:paraId="0A56EB3C" w14:textId="77777777" w:rsidR="00767083" w:rsidRPr="00BA03AF" w:rsidRDefault="00767083" w:rsidP="00767083">
      <w:pPr>
        <w:jc w:val="both"/>
        <w:rPr>
          <w:rFonts w:ascii="Arial Narrow" w:hAnsi="Arial Narrow"/>
          <w:sz w:val="22"/>
          <w:szCs w:val="22"/>
        </w:rPr>
      </w:pPr>
    </w:p>
    <w:p w14:paraId="438B1525" w14:textId="77777777" w:rsidR="00767083" w:rsidRPr="00BA03AF" w:rsidRDefault="00767083" w:rsidP="00767083">
      <w:pPr>
        <w:jc w:val="both"/>
        <w:rPr>
          <w:rFonts w:ascii="Arial Narrow" w:hAnsi="Arial Narrow"/>
          <w:sz w:val="22"/>
          <w:szCs w:val="22"/>
        </w:rPr>
      </w:pPr>
    </w:p>
    <w:p w14:paraId="3ABCCE50" w14:textId="77777777" w:rsidR="00CF6DF9" w:rsidRDefault="00CF6DF9">
      <w:pPr>
        <w:rPr>
          <w:rFonts w:ascii="Arial Narrow" w:hAnsi="Arial Narrow"/>
          <w:b/>
          <w:sz w:val="22"/>
          <w:szCs w:val="22"/>
        </w:rPr>
      </w:pPr>
      <w:r>
        <w:rPr>
          <w:rFonts w:ascii="Arial Narrow" w:hAnsi="Arial Narrow"/>
          <w:b/>
          <w:sz w:val="22"/>
          <w:szCs w:val="22"/>
        </w:rPr>
        <w:br w:type="page"/>
      </w:r>
    </w:p>
    <w:p w14:paraId="49B6F6B2" w14:textId="4A1C4CD8"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0B22E4BB" w14:textId="77777777" w:rsidR="00767083" w:rsidRPr="00BA03AF" w:rsidRDefault="00767083" w:rsidP="00767083">
      <w:pPr>
        <w:jc w:val="both"/>
        <w:rPr>
          <w:rFonts w:ascii="Arial Narrow" w:hAnsi="Arial Narrow"/>
          <w:sz w:val="22"/>
          <w:szCs w:val="22"/>
        </w:rPr>
      </w:pPr>
    </w:p>
    <w:p w14:paraId="54AD9A25" w14:textId="77777777" w:rsidR="00767083" w:rsidRPr="00BA03AF" w:rsidRDefault="00767083" w:rsidP="00767083">
      <w:pPr>
        <w:jc w:val="both"/>
        <w:rPr>
          <w:rFonts w:ascii="Arial Narrow" w:hAnsi="Arial Narrow"/>
          <w:sz w:val="22"/>
          <w:szCs w:val="22"/>
        </w:rPr>
      </w:pPr>
    </w:p>
    <w:p w14:paraId="22FF70D5" w14:textId="77777777" w:rsidR="00767083" w:rsidRPr="005D40D6" w:rsidRDefault="00767083" w:rsidP="00767083">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3C986ABA" w14:textId="77777777" w:rsidR="00767083" w:rsidRPr="00BA03AF" w:rsidRDefault="00767083" w:rsidP="00767083">
      <w:pPr>
        <w:jc w:val="both"/>
        <w:rPr>
          <w:rFonts w:ascii="Arial Narrow" w:hAnsi="Arial Narrow"/>
          <w:sz w:val="22"/>
          <w:szCs w:val="22"/>
        </w:rPr>
      </w:pPr>
    </w:p>
    <w:p w14:paraId="3E43491F" w14:textId="77777777" w:rsidR="00767083" w:rsidRPr="00BA03AF" w:rsidRDefault="00767083" w:rsidP="00767083">
      <w:pPr>
        <w:jc w:val="both"/>
        <w:rPr>
          <w:rFonts w:ascii="Arial Narrow" w:hAnsi="Arial Narrow"/>
          <w:sz w:val="22"/>
          <w:szCs w:val="22"/>
        </w:rPr>
      </w:pPr>
    </w:p>
    <w:p w14:paraId="36590527" w14:textId="77777777" w:rsidR="00767083" w:rsidRPr="00BA03AF" w:rsidRDefault="00767083" w:rsidP="00767083">
      <w:pPr>
        <w:jc w:val="both"/>
        <w:rPr>
          <w:rFonts w:ascii="Arial Narrow" w:hAnsi="Arial Narrow"/>
          <w:sz w:val="22"/>
          <w:szCs w:val="22"/>
        </w:rPr>
      </w:pPr>
    </w:p>
    <w:p w14:paraId="1027694F" w14:textId="77777777" w:rsidR="00767083" w:rsidRPr="00BA03AF" w:rsidRDefault="00767083" w:rsidP="00767083">
      <w:pPr>
        <w:jc w:val="both"/>
        <w:rPr>
          <w:rFonts w:ascii="Arial Narrow" w:hAnsi="Arial Narrow"/>
          <w:sz w:val="22"/>
          <w:szCs w:val="22"/>
        </w:rPr>
      </w:pPr>
    </w:p>
    <w:p w14:paraId="52FFC1C2" w14:textId="77777777" w:rsidR="00767083" w:rsidRPr="00BA03AF" w:rsidRDefault="00767083" w:rsidP="00767083">
      <w:pPr>
        <w:jc w:val="both"/>
        <w:rPr>
          <w:rFonts w:ascii="Arial Narrow" w:hAnsi="Arial Narrow"/>
          <w:sz w:val="22"/>
          <w:szCs w:val="22"/>
        </w:rPr>
      </w:pPr>
    </w:p>
    <w:p w14:paraId="38B902F3" w14:textId="77777777" w:rsidR="00767083" w:rsidRPr="00BA03AF" w:rsidRDefault="00767083" w:rsidP="00767083">
      <w:pPr>
        <w:jc w:val="both"/>
        <w:rPr>
          <w:rFonts w:ascii="Arial Narrow" w:hAnsi="Arial Narrow"/>
          <w:sz w:val="22"/>
          <w:szCs w:val="22"/>
        </w:rPr>
      </w:pPr>
    </w:p>
    <w:p w14:paraId="2CB2E518" w14:textId="77777777" w:rsidR="00767083" w:rsidRPr="00BA03AF" w:rsidRDefault="00767083" w:rsidP="00767083">
      <w:pPr>
        <w:jc w:val="both"/>
        <w:rPr>
          <w:rFonts w:ascii="Arial Narrow" w:hAnsi="Arial Narrow"/>
          <w:sz w:val="22"/>
          <w:szCs w:val="22"/>
        </w:rPr>
      </w:pPr>
    </w:p>
    <w:p w14:paraId="660B81C3" w14:textId="77777777" w:rsidR="00767083" w:rsidRPr="00BA03AF" w:rsidRDefault="00767083" w:rsidP="00767083">
      <w:pPr>
        <w:jc w:val="both"/>
        <w:rPr>
          <w:rFonts w:ascii="Arial Narrow" w:hAnsi="Arial Narrow"/>
          <w:sz w:val="22"/>
          <w:szCs w:val="22"/>
        </w:rPr>
      </w:pPr>
    </w:p>
    <w:p w14:paraId="627E10F2" w14:textId="77777777" w:rsidR="00767083" w:rsidRPr="00BA03AF" w:rsidRDefault="00767083" w:rsidP="00767083">
      <w:pPr>
        <w:jc w:val="both"/>
        <w:rPr>
          <w:rFonts w:ascii="Arial Narrow" w:hAnsi="Arial Narrow"/>
          <w:sz w:val="22"/>
          <w:szCs w:val="22"/>
        </w:rPr>
      </w:pPr>
    </w:p>
    <w:p w14:paraId="195CFE77" w14:textId="77777777" w:rsidR="00767083" w:rsidRPr="00BA03AF" w:rsidRDefault="00767083" w:rsidP="00767083">
      <w:pPr>
        <w:jc w:val="both"/>
        <w:rPr>
          <w:rFonts w:ascii="Arial Narrow" w:hAnsi="Arial Narrow"/>
          <w:sz w:val="22"/>
          <w:szCs w:val="22"/>
        </w:rPr>
      </w:pPr>
    </w:p>
    <w:p w14:paraId="1F9AD9F3" w14:textId="77777777" w:rsidR="00767083" w:rsidRPr="00BA03AF" w:rsidRDefault="00767083" w:rsidP="00767083">
      <w:pPr>
        <w:jc w:val="both"/>
        <w:rPr>
          <w:rFonts w:ascii="Arial Narrow" w:hAnsi="Arial Narrow"/>
          <w:sz w:val="22"/>
          <w:szCs w:val="22"/>
        </w:rPr>
      </w:pPr>
    </w:p>
    <w:p w14:paraId="12A7F408" w14:textId="77777777" w:rsidR="00767083" w:rsidRPr="00BA03AF" w:rsidRDefault="00767083" w:rsidP="00767083">
      <w:pPr>
        <w:jc w:val="both"/>
        <w:rPr>
          <w:rFonts w:ascii="Arial Narrow" w:hAnsi="Arial Narrow"/>
          <w:sz w:val="22"/>
          <w:szCs w:val="22"/>
        </w:rPr>
      </w:pPr>
    </w:p>
    <w:p w14:paraId="50498596" w14:textId="77777777" w:rsidR="00767083" w:rsidRPr="00BA03AF" w:rsidRDefault="00767083" w:rsidP="00767083">
      <w:pPr>
        <w:jc w:val="both"/>
        <w:rPr>
          <w:rFonts w:ascii="Arial Narrow" w:hAnsi="Arial Narrow"/>
          <w:sz w:val="22"/>
          <w:szCs w:val="22"/>
        </w:rPr>
      </w:pPr>
    </w:p>
    <w:p w14:paraId="2F96AB8D" w14:textId="77777777" w:rsidR="00767083" w:rsidRPr="00BA03AF" w:rsidRDefault="00767083" w:rsidP="00767083">
      <w:pPr>
        <w:jc w:val="both"/>
        <w:rPr>
          <w:rFonts w:ascii="Arial Narrow" w:hAnsi="Arial Narrow"/>
          <w:sz w:val="22"/>
          <w:szCs w:val="22"/>
        </w:rPr>
      </w:pPr>
    </w:p>
    <w:p w14:paraId="424014D1" w14:textId="77777777" w:rsidR="00767083" w:rsidRPr="00BA03AF" w:rsidRDefault="00767083" w:rsidP="00767083">
      <w:pPr>
        <w:jc w:val="both"/>
        <w:rPr>
          <w:rFonts w:ascii="Arial Narrow" w:hAnsi="Arial Narrow"/>
          <w:sz w:val="22"/>
          <w:szCs w:val="22"/>
        </w:rPr>
      </w:pPr>
    </w:p>
    <w:p w14:paraId="2F6B728A" w14:textId="77777777" w:rsidR="00767083" w:rsidRPr="00BA03AF" w:rsidRDefault="00767083" w:rsidP="00767083">
      <w:pPr>
        <w:jc w:val="both"/>
        <w:rPr>
          <w:rFonts w:ascii="Arial Narrow" w:hAnsi="Arial Narrow"/>
          <w:sz w:val="22"/>
          <w:szCs w:val="22"/>
        </w:rPr>
      </w:pPr>
    </w:p>
    <w:p w14:paraId="4815DF17" w14:textId="77777777" w:rsidR="00767083" w:rsidRPr="00BA03AF" w:rsidRDefault="00767083" w:rsidP="00767083">
      <w:pPr>
        <w:jc w:val="both"/>
        <w:rPr>
          <w:rFonts w:ascii="Arial Narrow" w:hAnsi="Arial Narrow"/>
          <w:sz w:val="22"/>
          <w:szCs w:val="22"/>
        </w:rPr>
      </w:pPr>
    </w:p>
    <w:p w14:paraId="0A1C4FB9" w14:textId="77777777" w:rsidR="00767083" w:rsidRPr="00BA03AF" w:rsidRDefault="00767083" w:rsidP="00767083">
      <w:pPr>
        <w:jc w:val="both"/>
        <w:rPr>
          <w:rFonts w:ascii="Arial Narrow" w:hAnsi="Arial Narrow"/>
          <w:sz w:val="22"/>
          <w:szCs w:val="22"/>
        </w:rPr>
      </w:pPr>
    </w:p>
    <w:p w14:paraId="7B2B21ED" w14:textId="77777777" w:rsidR="00767083" w:rsidRPr="00BA03AF" w:rsidRDefault="00767083" w:rsidP="00767083">
      <w:pPr>
        <w:jc w:val="both"/>
        <w:rPr>
          <w:rFonts w:ascii="Arial Narrow" w:hAnsi="Arial Narrow"/>
          <w:sz w:val="22"/>
          <w:szCs w:val="22"/>
        </w:rPr>
      </w:pPr>
    </w:p>
    <w:p w14:paraId="40C18A5E" w14:textId="77777777" w:rsidR="00767083" w:rsidRPr="00BA03AF" w:rsidRDefault="00767083" w:rsidP="00767083">
      <w:pPr>
        <w:jc w:val="both"/>
        <w:rPr>
          <w:rFonts w:ascii="Arial Narrow" w:hAnsi="Arial Narrow"/>
          <w:sz w:val="22"/>
          <w:szCs w:val="22"/>
        </w:rPr>
      </w:pPr>
    </w:p>
    <w:p w14:paraId="5BE608FF" w14:textId="77777777" w:rsidR="00767083" w:rsidRPr="00BA03AF" w:rsidRDefault="00767083" w:rsidP="00767083">
      <w:pPr>
        <w:jc w:val="both"/>
        <w:rPr>
          <w:rFonts w:ascii="Arial Narrow" w:hAnsi="Arial Narrow"/>
          <w:sz w:val="22"/>
          <w:szCs w:val="22"/>
        </w:rPr>
      </w:pPr>
    </w:p>
    <w:p w14:paraId="22F3F81A" w14:textId="77777777" w:rsidR="00767083" w:rsidRPr="00BA03AF" w:rsidRDefault="00767083" w:rsidP="00767083">
      <w:pPr>
        <w:jc w:val="both"/>
        <w:rPr>
          <w:rFonts w:ascii="Arial Narrow" w:hAnsi="Arial Narrow"/>
          <w:sz w:val="22"/>
          <w:szCs w:val="22"/>
        </w:rPr>
      </w:pPr>
    </w:p>
    <w:p w14:paraId="0481D2A5" w14:textId="77777777" w:rsidR="00767083" w:rsidRPr="00BA03AF" w:rsidRDefault="00767083" w:rsidP="00767083">
      <w:pPr>
        <w:jc w:val="both"/>
        <w:rPr>
          <w:rFonts w:ascii="Arial Narrow" w:hAnsi="Arial Narrow"/>
          <w:sz w:val="22"/>
          <w:szCs w:val="22"/>
        </w:rPr>
      </w:pPr>
    </w:p>
    <w:p w14:paraId="037AA537" w14:textId="77777777" w:rsidR="00767083" w:rsidRPr="00BA03AF" w:rsidRDefault="00767083" w:rsidP="00767083">
      <w:pPr>
        <w:jc w:val="both"/>
        <w:rPr>
          <w:rFonts w:ascii="Arial Narrow" w:hAnsi="Arial Narrow"/>
          <w:sz w:val="22"/>
          <w:szCs w:val="22"/>
        </w:rPr>
      </w:pPr>
    </w:p>
    <w:p w14:paraId="1320D4F9" w14:textId="77777777" w:rsidR="00767083" w:rsidRPr="00BA03AF" w:rsidRDefault="00767083" w:rsidP="00767083">
      <w:pPr>
        <w:jc w:val="both"/>
        <w:rPr>
          <w:rFonts w:ascii="Arial Narrow" w:hAnsi="Arial Narrow"/>
          <w:sz w:val="22"/>
          <w:szCs w:val="22"/>
        </w:rPr>
      </w:pPr>
    </w:p>
    <w:p w14:paraId="6D970B74" w14:textId="77777777" w:rsidR="00767083" w:rsidRPr="00BA03AF" w:rsidRDefault="00767083" w:rsidP="00767083">
      <w:pPr>
        <w:jc w:val="both"/>
        <w:rPr>
          <w:rFonts w:ascii="Arial Narrow" w:hAnsi="Arial Narrow"/>
          <w:sz w:val="22"/>
          <w:szCs w:val="22"/>
        </w:rPr>
      </w:pPr>
    </w:p>
    <w:p w14:paraId="569F476B" w14:textId="77777777" w:rsidR="00767083" w:rsidRPr="00BA03AF" w:rsidRDefault="00767083" w:rsidP="00767083">
      <w:pPr>
        <w:jc w:val="both"/>
        <w:rPr>
          <w:rFonts w:ascii="Arial Narrow" w:hAnsi="Arial Narrow"/>
          <w:sz w:val="22"/>
          <w:szCs w:val="22"/>
        </w:rPr>
      </w:pPr>
    </w:p>
    <w:p w14:paraId="3783AB77" w14:textId="77777777" w:rsidR="00767083" w:rsidRPr="00BA03AF" w:rsidRDefault="00767083" w:rsidP="00767083">
      <w:pPr>
        <w:jc w:val="both"/>
        <w:rPr>
          <w:rFonts w:ascii="Arial Narrow" w:hAnsi="Arial Narrow"/>
          <w:sz w:val="22"/>
          <w:szCs w:val="22"/>
        </w:rPr>
      </w:pPr>
    </w:p>
    <w:p w14:paraId="5155B4AB" w14:textId="77777777" w:rsidR="00767083" w:rsidRPr="00BA03AF" w:rsidRDefault="00767083" w:rsidP="00767083">
      <w:pPr>
        <w:jc w:val="both"/>
        <w:rPr>
          <w:rFonts w:ascii="Arial Narrow" w:hAnsi="Arial Narrow"/>
          <w:sz w:val="22"/>
          <w:szCs w:val="22"/>
        </w:rPr>
      </w:pPr>
    </w:p>
    <w:p w14:paraId="6000E60D" w14:textId="77777777" w:rsidR="00767083" w:rsidRPr="00BA03AF" w:rsidRDefault="00767083" w:rsidP="00767083">
      <w:pPr>
        <w:jc w:val="both"/>
        <w:rPr>
          <w:rFonts w:ascii="Arial Narrow" w:hAnsi="Arial Narrow"/>
          <w:sz w:val="22"/>
          <w:szCs w:val="22"/>
        </w:rPr>
      </w:pPr>
    </w:p>
    <w:p w14:paraId="1D866A13" w14:textId="77777777" w:rsidR="00767083" w:rsidRPr="00BA03AF" w:rsidRDefault="00767083" w:rsidP="00767083">
      <w:pPr>
        <w:jc w:val="both"/>
        <w:rPr>
          <w:rFonts w:ascii="Arial Narrow" w:hAnsi="Arial Narrow"/>
          <w:sz w:val="22"/>
          <w:szCs w:val="22"/>
        </w:rPr>
      </w:pPr>
    </w:p>
    <w:p w14:paraId="48A01D37" w14:textId="77777777" w:rsidR="00767083" w:rsidRPr="00BA03AF" w:rsidRDefault="00767083" w:rsidP="00767083">
      <w:pPr>
        <w:jc w:val="both"/>
        <w:rPr>
          <w:rFonts w:ascii="Arial Narrow" w:hAnsi="Arial Narrow"/>
          <w:sz w:val="22"/>
          <w:szCs w:val="22"/>
        </w:rPr>
      </w:pPr>
    </w:p>
    <w:p w14:paraId="418D974E" w14:textId="77777777" w:rsidR="00767083" w:rsidRPr="00BA03AF" w:rsidRDefault="00767083" w:rsidP="00767083">
      <w:pPr>
        <w:jc w:val="both"/>
        <w:rPr>
          <w:rFonts w:ascii="Arial Narrow" w:hAnsi="Arial Narrow"/>
          <w:sz w:val="22"/>
          <w:szCs w:val="22"/>
        </w:rPr>
      </w:pPr>
    </w:p>
    <w:p w14:paraId="6FF25A62" w14:textId="77777777" w:rsidR="00767083" w:rsidRPr="00BA03AF" w:rsidRDefault="00767083" w:rsidP="00767083">
      <w:pPr>
        <w:jc w:val="both"/>
        <w:rPr>
          <w:rFonts w:ascii="Arial Narrow" w:hAnsi="Arial Narrow"/>
          <w:sz w:val="22"/>
          <w:szCs w:val="22"/>
        </w:rPr>
      </w:pPr>
    </w:p>
    <w:p w14:paraId="3F8253A5" w14:textId="77777777" w:rsidR="00767083" w:rsidRPr="00BA03AF" w:rsidRDefault="00767083" w:rsidP="00767083">
      <w:pPr>
        <w:jc w:val="both"/>
        <w:rPr>
          <w:rFonts w:ascii="Arial Narrow" w:hAnsi="Arial Narrow"/>
          <w:sz w:val="22"/>
          <w:szCs w:val="22"/>
        </w:rPr>
      </w:pPr>
    </w:p>
    <w:p w14:paraId="05CFA61B" w14:textId="77777777" w:rsidR="00767083" w:rsidRPr="00BA03AF" w:rsidRDefault="00767083" w:rsidP="00767083">
      <w:pPr>
        <w:jc w:val="both"/>
        <w:rPr>
          <w:rFonts w:ascii="Arial Narrow" w:hAnsi="Arial Narrow"/>
          <w:sz w:val="22"/>
          <w:szCs w:val="22"/>
        </w:rPr>
      </w:pPr>
    </w:p>
    <w:p w14:paraId="0A240007" w14:textId="77777777" w:rsidR="00767083" w:rsidRPr="00BA03AF" w:rsidRDefault="00767083" w:rsidP="00767083">
      <w:pPr>
        <w:jc w:val="both"/>
        <w:rPr>
          <w:rFonts w:ascii="Arial Narrow" w:hAnsi="Arial Narrow"/>
          <w:sz w:val="22"/>
          <w:szCs w:val="22"/>
        </w:rPr>
      </w:pPr>
    </w:p>
    <w:p w14:paraId="2221B216" w14:textId="77777777" w:rsidR="00767083" w:rsidRPr="00BA03AF" w:rsidRDefault="00767083" w:rsidP="00767083">
      <w:pPr>
        <w:jc w:val="both"/>
        <w:rPr>
          <w:rFonts w:ascii="Arial Narrow" w:hAnsi="Arial Narrow"/>
          <w:sz w:val="22"/>
          <w:szCs w:val="22"/>
        </w:rPr>
      </w:pPr>
    </w:p>
    <w:p w14:paraId="01B9A98C" w14:textId="77777777" w:rsidR="00767083" w:rsidRPr="00BA03AF" w:rsidRDefault="00767083" w:rsidP="00767083">
      <w:pPr>
        <w:jc w:val="both"/>
        <w:rPr>
          <w:rFonts w:ascii="Arial Narrow" w:hAnsi="Arial Narrow"/>
          <w:sz w:val="22"/>
          <w:szCs w:val="22"/>
        </w:rPr>
      </w:pPr>
    </w:p>
    <w:p w14:paraId="4AAA1223" w14:textId="77777777" w:rsidR="00767083" w:rsidRPr="00BA03AF" w:rsidRDefault="00767083" w:rsidP="00767083">
      <w:pPr>
        <w:jc w:val="both"/>
        <w:rPr>
          <w:rFonts w:ascii="Arial Narrow" w:hAnsi="Arial Narrow"/>
          <w:sz w:val="22"/>
          <w:szCs w:val="22"/>
        </w:rPr>
      </w:pPr>
    </w:p>
    <w:p w14:paraId="79869DFB" w14:textId="77777777" w:rsidR="00767083" w:rsidRPr="00BA03AF" w:rsidRDefault="00767083" w:rsidP="00767083">
      <w:pPr>
        <w:jc w:val="both"/>
        <w:rPr>
          <w:rFonts w:ascii="Arial Narrow" w:hAnsi="Arial Narrow"/>
          <w:sz w:val="22"/>
          <w:szCs w:val="22"/>
        </w:rPr>
      </w:pPr>
    </w:p>
    <w:p w14:paraId="3C67B226" w14:textId="77777777" w:rsidR="00767083" w:rsidRPr="00BA03AF" w:rsidRDefault="00767083" w:rsidP="00767083">
      <w:pPr>
        <w:jc w:val="both"/>
        <w:rPr>
          <w:rFonts w:ascii="Arial Narrow" w:hAnsi="Arial Narrow"/>
          <w:sz w:val="22"/>
          <w:szCs w:val="22"/>
        </w:rPr>
      </w:pPr>
    </w:p>
    <w:p w14:paraId="712A4154" w14:textId="77777777" w:rsidR="00767083" w:rsidRPr="00BA03AF" w:rsidRDefault="00767083" w:rsidP="00767083">
      <w:pPr>
        <w:jc w:val="both"/>
        <w:rPr>
          <w:rFonts w:ascii="Arial Narrow" w:hAnsi="Arial Narrow"/>
          <w:sz w:val="22"/>
          <w:szCs w:val="22"/>
        </w:rPr>
      </w:pPr>
    </w:p>
    <w:p w14:paraId="7D19386F" w14:textId="77777777" w:rsidR="00767083" w:rsidRPr="00BA03AF" w:rsidRDefault="00767083" w:rsidP="00767083">
      <w:pPr>
        <w:jc w:val="both"/>
        <w:rPr>
          <w:rFonts w:ascii="Arial Narrow" w:hAnsi="Arial Narrow"/>
          <w:sz w:val="22"/>
          <w:szCs w:val="22"/>
        </w:rPr>
      </w:pPr>
    </w:p>
    <w:p w14:paraId="4B970384" w14:textId="77777777" w:rsidR="00767083" w:rsidRDefault="00767083" w:rsidP="00767083">
      <w:pPr>
        <w:jc w:val="both"/>
        <w:rPr>
          <w:rFonts w:ascii="Arial Narrow" w:hAnsi="Arial Narrow"/>
          <w:sz w:val="22"/>
          <w:szCs w:val="22"/>
        </w:rPr>
      </w:pPr>
    </w:p>
    <w:p w14:paraId="7B6ECF44" w14:textId="77777777" w:rsidR="00767083" w:rsidRPr="00BA03AF" w:rsidRDefault="00767083" w:rsidP="00767083">
      <w:pPr>
        <w:jc w:val="both"/>
        <w:rPr>
          <w:rFonts w:ascii="Arial Narrow" w:hAnsi="Arial Narrow"/>
          <w:sz w:val="22"/>
          <w:szCs w:val="22"/>
        </w:rPr>
      </w:pPr>
    </w:p>
    <w:p w14:paraId="65126E9E" w14:textId="77777777" w:rsidR="00767083" w:rsidRPr="00BA03AF" w:rsidRDefault="00767083" w:rsidP="00767083">
      <w:pPr>
        <w:jc w:val="both"/>
        <w:rPr>
          <w:rFonts w:ascii="Arial Narrow" w:hAnsi="Arial Narrow"/>
          <w:sz w:val="22"/>
          <w:szCs w:val="22"/>
        </w:rPr>
      </w:pPr>
    </w:p>
    <w:p w14:paraId="0F2A9A9D" w14:textId="77777777" w:rsidR="00767083" w:rsidRPr="00BA03AF" w:rsidRDefault="00767083" w:rsidP="00767083">
      <w:pPr>
        <w:jc w:val="both"/>
        <w:rPr>
          <w:rFonts w:ascii="Arial Narrow" w:hAnsi="Arial Narrow"/>
          <w:sz w:val="22"/>
          <w:szCs w:val="22"/>
        </w:rPr>
      </w:pPr>
    </w:p>
    <w:p w14:paraId="707A2C22" w14:textId="77777777" w:rsidR="00767083" w:rsidRPr="00BA03AF" w:rsidRDefault="00767083" w:rsidP="00767083">
      <w:pPr>
        <w:jc w:val="both"/>
        <w:rPr>
          <w:rFonts w:ascii="Arial Narrow" w:hAnsi="Arial Narrow"/>
          <w:sz w:val="22"/>
          <w:szCs w:val="22"/>
        </w:rPr>
      </w:pPr>
    </w:p>
    <w:p w14:paraId="19FC0FE9" w14:textId="77777777" w:rsidR="00767083" w:rsidRPr="00BA03AF" w:rsidRDefault="00767083" w:rsidP="00767083">
      <w:pPr>
        <w:jc w:val="both"/>
        <w:rPr>
          <w:rFonts w:ascii="Arial Narrow" w:hAnsi="Arial Narrow"/>
          <w:sz w:val="22"/>
          <w:szCs w:val="22"/>
        </w:rPr>
      </w:pPr>
    </w:p>
    <w:p w14:paraId="75FB2559" w14:textId="77777777" w:rsidR="00767083" w:rsidRPr="00BA03AF" w:rsidRDefault="00767083" w:rsidP="00767083">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3ED4C104" w14:textId="77777777" w:rsidR="00767083" w:rsidRPr="00913C3C" w:rsidRDefault="00767083" w:rsidP="00767083">
      <w:pPr>
        <w:jc w:val="both"/>
        <w:rPr>
          <w:rFonts w:ascii="Arial Narrow" w:hAnsi="Arial Narrow"/>
          <w:sz w:val="22"/>
          <w:szCs w:val="22"/>
        </w:rPr>
      </w:pPr>
    </w:p>
    <w:p w14:paraId="02FD8FB2" w14:textId="77777777" w:rsidR="00767083" w:rsidRPr="00691897" w:rsidRDefault="00767083" w:rsidP="00767083">
      <w:pPr>
        <w:spacing w:line="360" w:lineRule="auto"/>
        <w:jc w:val="both"/>
        <w:rPr>
          <w:rFonts w:ascii="Arial Narrow" w:hAnsi="Arial Narrow"/>
        </w:rPr>
      </w:pPr>
    </w:p>
    <w:p w14:paraId="547E5FF4" w14:textId="77777777" w:rsidR="00767083" w:rsidRPr="00691897" w:rsidRDefault="00767083" w:rsidP="00767083">
      <w:pPr>
        <w:spacing w:line="360" w:lineRule="auto"/>
        <w:jc w:val="both"/>
        <w:rPr>
          <w:rFonts w:ascii="Arial Narrow" w:hAnsi="Arial Narrow"/>
        </w:rPr>
      </w:pPr>
    </w:p>
    <w:p w14:paraId="0F33E7A4" w14:textId="77777777" w:rsidR="00767083" w:rsidRPr="00691897" w:rsidRDefault="00767083" w:rsidP="00767083">
      <w:pPr>
        <w:spacing w:line="360" w:lineRule="auto"/>
        <w:ind w:right="300"/>
        <w:jc w:val="both"/>
        <w:rPr>
          <w:rFonts w:ascii="Arial Narrow" w:hAnsi="Arial Narrow"/>
          <w:b/>
          <w:i/>
          <w:noProof/>
          <w:lang w:eastAsia="sk-SK"/>
        </w:rPr>
      </w:pPr>
    </w:p>
    <w:p w14:paraId="554A3A72" w14:textId="77777777" w:rsidR="00767083" w:rsidRPr="00691897" w:rsidRDefault="00767083" w:rsidP="00767083">
      <w:pPr>
        <w:autoSpaceDE w:val="0"/>
        <w:autoSpaceDN w:val="0"/>
        <w:adjustRightInd w:val="0"/>
        <w:spacing w:line="276" w:lineRule="auto"/>
        <w:jc w:val="center"/>
        <w:rPr>
          <w:rFonts w:ascii="Arial Narrow" w:hAnsi="Arial Narrow"/>
          <w:b/>
          <w:bCs/>
          <w:sz w:val="22"/>
          <w:szCs w:val="22"/>
          <w:lang w:eastAsia="sk-SK"/>
        </w:rPr>
      </w:pPr>
    </w:p>
    <w:p w14:paraId="1BB10647"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714A839E"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52A83C9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1B29077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100FD97D"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4B175CE9"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5A5441F1"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6D72989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60548AC2"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265C0D6B"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347B8CA7" w14:textId="77777777" w:rsidR="00767083" w:rsidRDefault="00767083" w:rsidP="00767083"/>
    <w:p w14:paraId="3340BCF9" w14:textId="77777777" w:rsidR="00916F8A" w:rsidRPr="00767083" w:rsidRDefault="00916F8A" w:rsidP="00767083"/>
    <w:sectPr w:rsidR="00916F8A" w:rsidRPr="00767083"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8AB98" w14:textId="77777777" w:rsidR="00D53C3D" w:rsidRDefault="00D53C3D" w:rsidP="002B7588">
      <w:r>
        <w:separator/>
      </w:r>
    </w:p>
  </w:endnote>
  <w:endnote w:type="continuationSeparator" w:id="0">
    <w:p w14:paraId="3EECD84F" w14:textId="77777777" w:rsidR="00D53C3D" w:rsidRDefault="00D53C3D"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101978">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D791F" w14:textId="77777777" w:rsidR="00D53C3D" w:rsidRDefault="00D53C3D" w:rsidP="002B7588">
      <w:r>
        <w:separator/>
      </w:r>
    </w:p>
  </w:footnote>
  <w:footnote w:type="continuationSeparator" w:id="0">
    <w:p w14:paraId="4D765C9D" w14:textId="77777777" w:rsidR="00D53C3D" w:rsidRDefault="00D53C3D"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1"/>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6"/>
  </w:num>
  <w:num w:numId="24">
    <w:abstractNumId w:val="42"/>
  </w:num>
  <w:num w:numId="25">
    <w:abstractNumId w:val="30"/>
  </w:num>
  <w:num w:numId="26">
    <w:abstractNumId w:val="34"/>
  </w:num>
  <w:num w:numId="27">
    <w:abstractNumId w:val="23"/>
  </w:num>
  <w:num w:numId="28">
    <w:abstractNumId w:val="41"/>
  </w:num>
  <w:num w:numId="29">
    <w:abstractNumId w:val="9"/>
  </w:num>
  <w:num w:numId="30">
    <w:abstractNumId w:val="35"/>
  </w:num>
  <w:num w:numId="31">
    <w:abstractNumId w:val="53"/>
  </w:num>
  <w:num w:numId="32">
    <w:abstractNumId w:val="40"/>
  </w:num>
  <w:num w:numId="33">
    <w:abstractNumId w:val="22"/>
  </w:num>
  <w:num w:numId="34">
    <w:abstractNumId w:val="16"/>
  </w:num>
  <w:num w:numId="35">
    <w:abstractNumId w:val="29"/>
  </w:num>
  <w:num w:numId="36">
    <w:abstractNumId w:val="27"/>
  </w:num>
  <w:num w:numId="37">
    <w:abstractNumId w:val="19"/>
  </w:num>
  <w:num w:numId="38">
    <w:abstractNumId w:val="50"/>
  </w:num>
  <w:num w:numId="39">
    <w:abstractNumId w:val="20"/>
  </w:num>
  <w:num w:numId="40">
    <w:abstractNumId w:val="45"/>
  </w:num>
  <w:num w:numId="41">
    <w:abstractNumId w:val="46"/>
  </w:num>
  <w:num w:numId="4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1978"/>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3862"/>
    <w:rsid w:val="00747611"/>
    <w:rsid w:val="00747D8A"/>
    <w:rsid w:val="00747FE9"/>
    <w:rsid w:val="00751B5F"/>
    <w:rsid w:val="00754D50"/>
    <w:rsid w:val="00756206"/>
    <w:rsid w:val="007567A5"/>
    <w:rsid w:val="00761382"/>
    <w:rsid w:val="00764A6E"/>
    <w:rsid w:val="0076545D"/>
    <w:rsid w:val="00766EB0"/>
    <w:rsid w:val="00767083"/>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C4310"/>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3C24"/>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CF6DF9"/>
    <w:rsid w:val="00D10E01"/>
    <w:rsid w:val="00D1114D"/>
    <w:rsid w:val="00D1438B"/>
    <w:rsid w:val="00D17919"/>
    <w:rsid w:val="00D26077"/>
    <w:rsid w:val="00D3427C"/>
    <w:rsid w:val="00D408A1"/>
    <w:rsid w:val="00D41215"/>
    <w:rsid w:val="00D4184A"/>
    <w:rsid w:val="00D44321"/>
    <w:rsid w:val="00D448A7"/>
    <w:rsid w:val="00D53C3D"/>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B679E"/>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0B59"/>
    <w:rsid w:val="00FC45BA"/>
    <w:rsid w:val="00FC6B17"/>
    <w:rsid w:val="00FD64D3"/>
    <w:rsid w:val="00FD7205"/>
    <w:rsid w:val="00FE01DB"/>
    <w:rsid w:val="00FE5711"/>
    <w:rsid w:val="00FE5F55"/>
    <w:rsid w:val="00FF0109"/>
    <w:rsid w:val="00FF3DC7"/>
    <w:rsid w:val="00FF4094"/>
    <w:rsid w:val="00FF431C"/>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776293639">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667055979">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97EF9-0B2C-4CD3-9079-EEB723A1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3112</Words>
  <Characters>18829</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3</cp:revision>
  <cp:lastPrinted>2020-09-08T12:36:00Z</cp:lastPrinted>
  <dcterms:created xsi:type="dcterms:W3CDTF">2020-09-08T11:48:00Z</dcterms:created>
  <dcterms:modified xsi:type="dcterms:W3CDTF">2020-09-08T12:36:00Z</dcterms:modified>
</cp:coreProperties>
</file>