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6D1CFED2" w:rsidR="00C663F2" w:rsidRDefault="00C663F2" w:rsidP="00672D3F">
      <w:pPr>
        <w:pStyle w:val="Odsekzoznamu"/>
        <w:numPr>
          <w:ilvl w:val="0"/>
          <w:numId w:val="16"/>
        </w:numPr>
        <w:tabs>
          <w:tab w:val="clear" w:pos="720"/>
          <w:tab w:val="num" w:pos="0"/>
        </w:tabs>
        <w:ind w:left="426" w:hanging="426"/>
        <w:jc w:val="both"/>
      </w:pPr>
      <w:r>
        <w:t xml:space="preserve">Táto zmluva sa uzatvára </w:t>
      </w:r>
      <w:r w:rsidRPr="00C663F2">
        <w:t xml:space="preserve">na základe </w:t>
      </w:r>
      <w:r w:rsidR="00AF3F5D">
        <w:t xml:space="preserve">výzvy č. </w:t>
      </w:r>
      <w:r w:rsidR="00A27810">
        <w:t>2</w:t>
      </w:r>
      <w:r w:rsidR="00AF3F5D">
        <w:t xml:space="preserve"> – „</w:t>
      </w:r>
      <w:r w:rsidR="00A27810" w:rsidRPr="00A27810">
        <w:rPr>
          <w:b/>
          <w:bCs/>
        </w:rPr>
        <w:t>Nákup</w:t>
      </w:r>
      <w:r w:rsidR="00A27810">
        <w:t xml:space="preserve"> </w:t>
      </w:r>
      <w:r w:rsidR="00A27810" w:rsidRPr="00A27810">
        <w:rPr>
          <w:b/>
          <w:bCs/>
        </w:rPr>
        <w:t>10Gig optického switchu do externých podmienok</w:t>
      </w:r>
      <w:r w:rsidR="00AF3F5D">
        <w:t xml:space="preserve">“ v rámci </w:t>
      </w:r>
      <w:r w:rsidRPr="00C663F2">
        <w:t xml:space="preserve">dynamického nákupného systému </w:t>
      </w:r>
      <w:r w:rsidR="00AF3F5D">
        <w:t>„</w:t>
      </w:r>
      <w:r w:rsidR="00453AEA">
        <w:t>Servery, sieťové zariadenia a podpora</w:t>
      </w:r>
      <w:r w:rsidR="00AF3F5D">
        <w:t xml:space="preserve">“ </w:t>
      </w:r>
      <w:r w:rsidR="00AF3F5D" w:rsidRPr="00C07936">
        <w:t xml:space="preserve">zriadeného dňa </w:t>
      </w:r>
      <w:r w:rsidR="00453AEA">
        <w:t>16</w:t>
      </w:r>
      <w:r w:rsidR="00606F39">
        <w:t xml:space="preserve">. </w:t>
      </w:r>
      <w:r w:rsidR="00D6715A" w:rsidRPr="00C07936">
        <w:t>9.</w:t>
      </w:r>
      <w:r w:rsidR="00606F39">
        <w:t xml:space="preserve"> </w:t>
      </w:r>
      <w:r w:rsidR="00D6715A" w:rsidRPr="00C07936">
        <w:t>2020</w:t>
      </w:r>
      <w:r w:rsidR="00AF3F5D">
        <w:t>. Oznámenie o </w:t>
      </w:r>
      <w:r w:rsidRPr="00C663F2">
        <w:t>vyhlásen</w:t>
      </w:r>
      <w:r w:rsidR="00AF3F5D">
        <w:t xml:space="preserve">í </w:t>
      </w:r>
      <w:r w:rsidR="00672D3F">
        <w:t xml:space="preserve">verejného obstarávania bolo uverejnené </w:t>
      </w:r>
      <w:r w:rsidRPr="00C663F2">
        <w:t>v</w:t>
      </w:r>
      <w:r w:rsidR="00672D3F">
        <w:t> Úradnom v</w:t>
      </w:r>
      <w:r w:rsidRPr="00C663F2">
        <w:t xml:space="preserve">estníku </w:t>
      </w:r>
      <w:r w:rsidR="00672D3F">
        <w:t xml:space="preserve">EÚ dňa </w:t>
      </w:r>
      <w:r w:rsidR="00D6715A">
        <w:t>6</w:t>
      </w:r>
      <w:r w:rsidR="00672D3F">
        <w:t>.</w:t>
      </w:r>
      <w:r w:rsidR="00606F39">
        <w:t xml:space="preserve"> </w:t>
      </w:r>
      <w:r w:rsidR="00453AEA">
        <w:t>7</w:t>
      </w:r>
      <w:r w:rsidR="00D6715A">
        <w:t>.</w:t>
      </w:r>
      <w:r w:rsidR="00606F39">
        <w:t xml:space="preserve"> </w:t>
      </w:r>
      <w:r w:rsidR="00672D3F">
        <w:t>20</w:t>
      </w:r>
      <w:r w:rsidR="00606F39">
        <w:t>20</w:t>
      </w:r>
      <w:r w:rsidR="00672D3F">
        <w:t xml:space="preserve"> pod značkou </w:t>
      </w:r>
      <w:r w:rsidR="00BB258A" w:rsidRPr="00BB258A">
        <w:t>2020/S 12</w:t>
      </w:r>
      <w:r w:rsidR="00453AEA">
        <w:t>8</w:t>
      </w:r>
      <w:r w:rsidR="00BB258A" w:rsidRPr="00BB258A">
        <w:t>-</w:t>
      </w:r>
      <w:r w:rsidR="00453AEA">
        <w:t>312587</w:t>
      </w:r>
      <w:r w:rsidR="00BB258A" w:rsidRPr="00BB258A">
        <w:t xml:space="preserve"> </w:t>
      </w:r>
      <w:r w:rsidR="00672D3F">
        <w:t xml:space="preserve">a vo Vestníku verejného obstarávania </w:t>
      </w:r>
      <w:r w:rsidR="00E17BF5">
        <w:t>č.</w:t>
      </w:r>
      <w:r w:rsidR="00EB4ED6">
        <w:t> </w:t>
      </w:r>
      <w:r w:rsidR="00E17BF5">
        <w:t>1</w:t>
      </w:r>
      <w:r w:rsidR="00453AEA">
        <w:t>42</w:t>
      </w:r>
      <w:r w:rsidR="00E17BF5">
        <w:t>/20</w:t>
      </w:r>
      <w:r w:rsidR="00BB258A">
        <w:t>20</w:t>
      </w:r>
      <w:r w:rsidR="00E17BF5">
        <w:t xml:space="preserve"> zo </w:t>
      </w:r>
      <w:r w:rsidR="00672D3F">
        <w:t>dňa</w:t>
      </w:r>
      <w:r w:rsidR="00E17BF5">
        <w:t xml:space="preserve"> </w:t>
      </w:r>
      <w:r w:rsidR="00453AEA">
        <w:t>7</w:t>
      </w:r>
      <w:r w:rsidR="00BB258A">
        <w:t>.</w:t>
      </w:r>
      <w:r w:rsidR="00606F39">
        <w:t xml:space="preserve"> </w:t>
      </w:r>
      <w:r w:rsidR="00453AEA">
        <w:t>7</w:t>
      </w:r>
      <w:r w:rsidR="00E17BF5">
        <w:t>.</w:t>
      </w:r>
      <w:r w:rsidR="00606F39">
        <w:t xml:space="preserve"> </w:t>
      </w:r>
      <w:r w:rsidR="00E17BF5">
        <w:t>20</w:t>
      </w:r>
      <w:r w:rsidR="00BB258A">
        <w:t>20</w:t>
      </w:r>
      <w:r w:rsidR="00E17BF5">
        <w:t xml:space="preserve"> pod značkou </w:t>
      </w:r>
      <w:r w:rsidR="00BB258A">
        <w:t>23</w:t>
      </w:r>
      <w:r w:rsidR="00453AEA">
        <w:t>986</w:t>
      </w:r>
      <w:r w:rsidR="00E17BF5">
        <w:t>-MUT.</w:t>
      </w:r>
      <w:r w:rsidR="00672D3F">
        <w:t xml:space="preserve"> </w:t>
      </w:r>
    </w:p>
    <w:p w14:paraId="4D7A7591" w14:textId="77777777" w:rsidR="00B03B98" w:rsidRDefault="00B03B98" w:rsidP="00B03B98">
      <w:pPr>
        <w:pStyle w:val="Odsekzoznamu"/>
        <w:ind w:left="426"/>
        <w:jc w:val="both"/>
      </w:pPr>
    </w:p>
    <w:p w14:paraId="670A61AF" w14:textId="437A24E7" w:rsidR="00943199" w:rsidRDefault="00E07F5C" w:rsidP="00636365">
      <w:pPr>
        <w:pStyle w:val="Odsekzoznamu"/>
        <w:numPr>
          <w:ilvl w:val="0"/>
          <w:numId w:val="16"/>
        </w:numPr>
        <w:tabs>
          <w:tab w:val="clear" w:pos="720"/>
          <w:tab w:val="num" w:pos="426"/>
        </w:tabs>
        <w:ind w:left="426" w:hanging="426"/>
        <w:jc w:val="both"/>
      </w:pPr>
      <w:r w:rsidRPr="002F7D88">
        <w:t>Predávajúci sa zaväzuje za podmienok dohodnutých v tejto zmluve a v</w:t>
      </w:r>
      <w:r w:rsidR="00E17BF5">
        <w:t> </w:t>
      </w:r>
      <w:r w:rsidRPr="002F7D88">
        <w:t xml:space="preserve">súťažných podkladoch </w:t>
      </w:r>
      <w:r w:rsidR="00E17BF5">
        <w:t xml:space="preserve">výzvy č. </w:t>
      </w:r>
      <w:r w:rsidR="00A27810">
        <w:t>2</w:t>
      </w:r>
      <w:r w:rsidR="00E17BF5" w:rsidRPr="001764A9">
        <w:t xml:space="preserve"> – „</w:t>
      </w:r>
      <w:r w:rsidR="00453AEA">
        <w:t xml:space="preserve">Nákup </w:t>
      </w:r>
      <w:r w:rsidR="00A27810" w:rsidRPr="00A27810">
        <w:t>10Gig optického switchu do externých podmienok</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 a vykládky tovaru na mieste určenia</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33967C81"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6C5544">
        <w:rPr>
          <w:b/>
          <w:bCs/>
        </w:rPr>
        <w:t>1</w:t>
      </w:r>
      <w:r w:rsidR="00EF3737">
        <w:rPr>
          <w:b/>
          <w:bCs/>
        </w:rPr>
        <w:t xml:space="preserve">ks </w:t>
      </w:r>
      <w:r w:rsidR="006C5544">
        <w:rPr>
          <w:b/>
          <w:bCs/>
        </w:rPr>
        <w:t>10Gig optického switchu do externých podmienok</w:t>
      </w:r>
      <w:r w:rsidR="00EF3737">
        <w:rPr>
          <w:b/>
          <w:bCs/>
        </w:rPr>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66E080A0"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F3737">
        <w:t>najneskôr</w:t>
      </w:r>
      <w:r w:rsidR="006C5544">
        <w:t xml:space="preserve"> </w:t>
      </w:r>
      <w:r w:rsidR="006C5544" w:rsidRPr="006C5544">
        <w:rPr>
          <w:b/>
          <w:bCs/>
        </w:rPr>
        <w:t>do</w:t>
      </w:r>
      <w:r w:rsidR="002E3714" w:rsidRPr="006C5544">
        <w:rPr>
          <w:b/>
          <w:bCs/>
        </w:rPr>
        <w:t xml:space="preserve"> </w:t>
      </w:r>
      <w:r w:rsidR="00642651" w:rsidRPr="006C5544">
        <w:rPr>
          <w:b/>
          <w:bCs/>
        </w:rPr>
        <w:t>_________</w:t>
      </w:r>
      <w:r w:rsidR="006C5544" w:rsidRPr="006C5544">
        <w:rPr>
          <w:b/>
          <w:bCs/>
        </w:rPr>
        <w:t xml:space="preserve"> pracovných </w:t>
      </w:r>
      <w:r w:rsidR="008C2EEF" w:rsidRPr="006C5544">
        <w:rPr>
          <w:b/>
          <w:bCs/>
        </w:rPr>
        <w:t xml:space="preserve"> </w:t>
      </w:r>
      <w:r w:rsidR="00E62D3A" w:rsidRPr="006C5544">
        <w:rPr>
          <w:b/>
          <w:bCs/>
        </w:rPr>
        <w:t>dní</w:t>
      </w:r>
      <w:r w:rsidR="00E07F5C" w:rsidRPr="00E62D3A">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protokolu o prevzatí je</w:t>
      </w:r>
      <w:r w:rsidR="008C1CF5">
        <w:t xml:space="preserve"> </w:t>
      </w:r>
      <w:r w:rsidR="003B7AB8" w:rsidRPr="00C07936">
        <w:t>_____________________________</w:t>
      </w:r>
      <w:r w:rsidR="00943199" w:rsidRPr="00C07936">
        <w:t>.</w:t>
      </w:r>
      <w:r w:rsidR="008C1CF5" w:rsidRPr="00C07936">
        <w:t xml:space="preserve"> </w:t>
      </w:r>
      <w:r w:rsidRPr="00C07936">
        <w:t xml:space="preserve">Zodpovedným zástupcom </w:t>
      </w:r>
      <w:r w:rsidR="000E7173" w:rsidRPr="00C07936">
        <w:t>p</w:t>
      </w:r>
      <w:r w:rsidRPr="00C07936">
        <w:t>redávajúceho na odovzdanie predmetu kúpy a</w:t>
      </w:r>
      <w:r w:rsidR="007C7E69" w:rsidRPr="00C07936">
        <w:t xml:space="preserve"> </w:t>
      </w:r>
      <w:r w:rsidRPr="00C07936">
        <w:t xml:space="preserve">na podpísanie protokolu o odovzdaní je </w:t>
      </w:r>
      <w:r w:rsidR="00D9757B" w:rsidRPr="00C07936">
        <w:t>_______</w:t>
      </w:r>
      <w:r w:rsidR="00116210" w:rsidRPr="00C07936">
        <w:t>____________________</w:t>
      </w:r>
      <w:r w:rsidR="00D9757B" w:rsidRPr="00C07936">
        <w:t>__</w:t>
      </w:r>
      <w:r w:rsidR="00943199" w:rsidRPr="00C07936">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44C58144"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 xml:space="preserve">vrátane vykládky tovaru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47295102"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 xml:space="preserve">upujúci oprávnený uplatniť si voči </w:t>
      </w:r>
      <w:r w:rsidR="008103AE">
        <w:t>p</w:t>
      </w:r>
      <w:r w:rsidR="00177786" w:rsidRPr="002F7D88">
        <w:t xml:space="preserve">redávajúcemu </w:t>
      </w:r>
      <w:r w:rsidR="00177786" w:rsidRPr="008C2EEF">
        <w:t xml:space="preserve">zmluvnú pokutu vo výške </w:t>
      </w:r>
      <w:r w:rsidR="00D751B3">
        <w:t>5</w:t>
      </w:r>
      <w:r w:rsidR="00177786" w:rsidRPr="008C2EEF">
        <w:t>% 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pri podpise tejto zmluvy.</w:t>
      </w:r>
    </w:p>
    <w:p w14:paraId="6AA4DF64" w14:textId="77777777" w:rsidR="00FD524F" w:rsidRDefault="00FD524F" w:rsidP="00FD524F">
      <w:pPr>
        <w:pStyle w:val="Odsekzoznamu"/>
      </w:pPr>
    </w:p>
    <w:p w14:paraId="22BDE91E" w14:textId="51877D67" w:rsidR="00FD524F" w:rsidRPr="002F7D88" w:rsidRDefault="00FD524F" w:rsidP="00636365">
      <w:pPr>
        <w:pStyle w:val="Odsekzoznamu"/>
        <w:numPr>
          <w:ilvl w:val="0"/>
          <w:numId w:val="18"/>
        </w:numPr>
        <w:tabs>
          <w:tab w:val="clear" w:pos="720"/>
          <w:tab w:val="num" w:pos="426"/>
        </w:tabs>
        <w:ind w:left="426" w:hanging="426"/>
        <w:jc w:val="both"/>
      </w:pPr>
      <w:r w:rsidRPr="002F7D88">
        <w:t>Kupujúci si vyhradzuje právo</w:t>
      </w:r>
      <w:r>
        <w:t xml:space="preserve"> vrátiť nepoškodený tovar v pôvodných obaloch do 14 dní od prevzatia tovaru ak zistí, že dodaný tovar nespĺňa ktorúkoľvek </w:t>
      </w:r>
      <w:r w:rsidR="001C3038">
        <w:t>z</w:t>
      </w:r>
      <w:r w:rsidR="00657597">
        <w:t> </w:t>
      </w:r>
      <w:r>
        <w:t>požadovan</w:t>
      </w:r>
      <w:r w:rsidR="001C3038">
        <w:t>ých</w:t>
      </w:r>
      <w:r>
        <w:t xml:space="preserve"> technick</w:t>
      </w:r>
      <w:r w:rsidR="001C3038">
        <w:t>ých</w:t>
      </w:r>
      <w:r>
        <w:t xml:space="preserve"> špecifikáci</w:t>
      </w:r>
      <w:r w:rsidR="001C3038">
        <w:t>í</w:t>
      </w:r>
      <w:r>
        <w:t xml:space="preserve"> vyžadovan</w:t>
      </w:r>
      <w:r w:rsidR="001C3038">
        <w:t>ých</w:t>
      </w:r>
      <w:r>
        <w:t xml:space="preserve"> </w:t>
      </w:r>
      <w:r w:rsidR="008103AE">
        <w:t>k</w:t>
      </w:r>
      <w:r>
        <w:t xml:space="preserve">upujúcim </w:t>
      </w:r>
      <w:r w:rsidRPr="001E7C1C">
        <w:t>alebo nespĺňa osobitné požiadavky na plnenie.</w:t>
      </w:r>
    </w:p>
    <w:p w14:paraId="1E907A42" w14:textId="5B22C8E5" w:rsidR="00CE4A6F" w:rsidRDefault="00CE4A6F" w:rsidP="00636365">
      <w:pPr>
        <w:pStyle w:val="Odsekzoznamu"/>
        <w:ind w:left="567"/>
        <w:jc w:val="both"/>
      </w:pPr>
    </w:p>
    <w:p w14:paraId="6081DC78" w14:textId="05154A00" w:rsidR="0016312A" w:rsidRPr="002F7D88" w:rsidRDefault="0016312A" w:rsidP="0016312A">
      <w:pPr>
        <w:pStyle w:val="Odsekzoznamu"/>
        <w:numPr>
          <w:ilvl w:val="0"/>
          <w:numId w:val="18"/>
        </w:numPr>
        <w:tabs>
          <w:tab w:val="clear" w:pos="720"/>
          <w:tab w:val="num" w:pos="426"/>
        </w:tabs>
        <w:ind w:left="426" w:hanging="426"/>
        <w:jc w:val="both"/>
      </w:pPr>
      <w:r>
        <w:t>Kupujúci požaduje dodanie predmetu kúpy spolu s</w:t>
      </w:r>
      <w:r w:rsidR="00F14468">
        <w:t> </w:t>
      </w:r>
      <w:r>
        <w:t>dokumentáciou</w:t>
      </w:r>
      <w:r w:rsidR="00F14468">
        <w:t xml:space="preserve">: </w:t>
      </w:r>
      <w:r w:rsidR="00642651">
        <w:rPr>
          <w:rFonts w:eastAsia="TimesNewRomanPSMT"/>
          <w:color w:val="000000"/>
        </w:rPr>
        <w:t>servisná dokumentácia, návodom na používanie (v slovenskom jazyku), záručným listom a preberacím protokolom.</w:t>
      </w:r>
      <w:r>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 xml:space="preserve">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6535D35A"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642651" w:rsidRPr="00642651">
        <w:rPr>
          <w:b/>
          <w:bCs/>
          <w:color w:val="000000"/>
        </w:rPr>
        <w:t xml:space="preserve">12 </w:t>
      </w:r>
      <w:r w:rsidR="005F6D6C" w:rsidRPr="002C3686">
        <w:rPr>
          <w:color w:val="000000"/>
        </w:rPr>
        <w:t xml:space="preserve">mesiacov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44DF0EB7"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556A4F8A" w14:textId="77777777" w:rsidR="00B2625C" w:rsidRPr="002F7D88" w:rsidRDefault="00B2625C" w:rsidP="00B2625C">
      <w:pPr>
        <w:rPr>
          <w:color w:val="000000"/>
        </w:rPr>
      </w:pPr>
    </w:p>
    <w:p w14:paraId="63553340" w14:textId="77777777" w:rsidR="00B2625C" w:rsidRPr="002F7D88" w:rsidRDefault="00B2625C" w:rsidP="00636365">
      <w:pPr>
        <w:pStyle w:val="Odsekzoznamu"/>
        <w:ind w:left="0"/>
        <w:jc w:val="both"/>
        <w:rPr>
          <w:b/>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lastRenderedPageBreak/>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5329CE59"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r>
      <w:r w:rsidR="00F16827">
        <w:rPr>
          <w:rStyle w:val="CharStyle15"/>
        </w:rPr>
        <w:t>O</w:t>
      </w:r>
      <w:r w:rsidR="00AD5AC0">
        <w:rPr>
          <w:rStyle w:val="CharStyle15"/>
        </w:rPr>
        <w:t>pis predmetu zákazky</w:t>
      </w:r>
      <w:r w:rsidR="00F16827">
        <w:rPr>
          <w:rStyle w:val="CharStyle15"/>
        </w:rPr>
        <w:t xml:space="preserve"> / Technická špecifikácia</w:t>
      </w:r>
    </w:p>
    <w:p w14:paraId="1A756D9D" w14:textId="192AC809"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p>
    <w:p w14:paraId="7C1FC3BA" w14:textId="712F9C7E" w:rsidR="00232878" w:rsidRPr="002F7D8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5469E37D" w:rsidR="00E266FE" w:rsidRPr="00AA45FA" w:rsidRDefault="00636365" w:rsidP="00E266FE">
      <w:pPr>
        <w:jc w:val="both"/>
      </w:pPr>
      <w:r w:rsidRPr="002F7D88">
        <w:tab/>
      </w:r>
      <w:r w:rsidR="00263912" w:rsidRPr="002F7D88">
        <w:t>Predávajúci</w:t>
      </w:r>
      <w:r w:rsidR="00263912" w:rsidRPr="002F7D88">
        <w:tab/>
      </w:r>
      <w:r w:rsidR="00E266FE">
        <w:t xml:space="preserve">                                                              </w:t>
      </w:r>
      <w:r w:rsidR="00701041">
        <w:t>Hlavné mesto</w:t>
      </w:r>
      <w:r w:rsidR="00E266FE" w:rsidRPr="00AA45FA">
        <w:t xml:space="preserve"> SR Bratislava</w:t>
      </w:r>
    </w:p>
    <w:p w14:paraId="01745426" w14:textId="299E50A5" w:rsidR="00AD5AC0" w:rsidRPr="009518F7" w:rsidRDefault="00E266FE" w:rsidP="009518F7">
      <w:pPr>
        <w:tabs>
          <w:tab w:val="left" w:pos="5820"/>
        </w:tabs>
        <w:jc w:val="both"/>
        <w:rPr>
          <w:b/>
          <w:bCs/>
        </w:rPr>
        <w:sectPr w:rsidR="00AD5AC0" w:rsidRPr="009518F7" w:rsidSect="00116210">
          <w:footerReference w:type="default" r:id="rId8"/>
          <w:headerReference w:type="first" r:id="rId9"/>
          <w:pgSz w:w="11906" w:h="16838"/>
          <w:pgMar w:top="1417" w:right="1417" w:bottom="1417" w:left="1417" w:header="708" w:footer="708" w:gutter="0"/>
          <w:cols w:space="708"/>
          <w:titlePg/>
          <w:docGrid w:linePitch="360"/>
        </w:sectPr>
      </w:pPr>
      <w:r w:rsidRPr="00AA45FA">
        <w:t xml:space="preserve">   </w:t>
      </w:r>
      <w:r>
        <w:t xml:space="preserve">                                                                                                  </w:t>
      </w:r>
    </w:p>
    <w:p w14:paraId="0D2627C3" w14:textId="55B15F0F" w:rsidR="00247EBA" w:rsidRDefault="005C56ED" w:rsidP="009518F7">
      <w:pPr>
        <w:spacing w:after="160" w:line="259" w:lineRule="auto"/>
        <w:rPr>
          <w:b/>
        </w:rPr>
      </w:pPr>
      <w:bookmarkStart w:id="2" w:name="_Hlk37253984"/>
      <w:r>
        <w:rPr>
          <w:b/>
        </w:rPr>
        <w:lastRenderedPageBreak/>
        <w:t>Príloha č. 1 Zmluvy</w:t>
      </w:r>
    </w:p>
    <w:p w14:paraId="1EA0BD6A" w14:textId="77777777" w:rsidR="005C56ED" w:rsidRPr="00F80D80" w:rsidRDefault="005C56ED" w:rsidP="00247EBA">
      <w:pPr>
        <w:jc w:val="both"/>
        <w:rPr>
          <w:b/>
        </w:rPr>
      </w:pPr>
    </w:p>
    <w:p w14:paraId="0BD025DB" w14:textId="77777777" w:rsidR="00247EBA" w:rsidRPr="006C5544" w:rsidRDefault="00247EBA" w:rsidP="006C5544">
      <w:pPr>
        <w:jc w:val="center"/>
        <w:rPr>
          <w:rFonts w:asciiTheme="majorHAnsi" w:hAnsiTheme="majorHAnsi" w:cstheme="majorHAnsi"/>
          <w:bCs/>
          <w:color w:val="1F4E79" w:themeColor="accent1" w:themeShade="80"/>
          <w:sz w:val="36"/>
          <w:szCs w:val="36"/>
        </w:rPr>
      </w:pPr>
      <w:r w:rsidRPr="006C5544">
        <w:rPr>
          <w:rFonts w:asciiTheme="majorHAnsi" w:hAnsiTheme="majorHAnsi" w:cstheme="majorHAnsi"/>
          <w:bCs/>
          <w:color w:val="1F4E79" w:themeColor="accent1" w:themeShade="80"/>
          <w:sz w:val="36"/>
          <w:szCs w:val="36"/>
        </w:rPr>
        <w:t>OPIS PREDMETU ZÁKAZKY</w:t>
      </w:r>
    </w:p>
    <w:p w14:paraId="4B48F702" w14:textId="77777777" w:rsidR="00247EBA" w:rsidRPr="00217819" w:rsidRDefault="00247EBA" w:rsidP="00247EBA">
      <w:pPr>
        <w:jc w:val="both"/>
        <w:rPr>
          <w:b/>
        </w:rPr>
      </w:pPr>
    </w:p>
    <w:bookmarkEnd w:id="2"/>
    <w:p w14:paraId="4FC11F07" w14:textId="77777777" w:rsidR="006C5544" w:rsidRDefault="006C5544" w:rsidP="006C5544">
      <w:pPr>
        <w:jc w:val="both"/>
      </w:pPr>
      <w:r w:rsidRPr="00C249F9">
        <w:t xml:space="preserve">Predmetom tejto výzvy č. </w:t>
      </w:r>
      <w:r>
        <w:t>2</w:t>
      </w:r>
      <w:r w:rsidRPr="00C249F9">
        <w:t xml:space="preserve"> v rámci zriadeného DNS "</w:t>
      </w:r>
      <w:r w:rsidRPr="00B70EF9">
        <w:t xml:space="preserve"> Servery, sieťové zriadenia a podpora</w:t>
      </w:r>
      <w:r w:rsidRPr="00C249F9">
        <w:t xml:space="preserve">“ je kúpa a </w:t>
      </w:r>
      <w:r w:rsidRPr="001342F2">
        <w:t>dodanie</w:t>
      </w:r>
      <w:r w:rsidRPr="00166290">
        <w:rPr>
          <w:b/>
          <w:bCs/>
        </w:rPr>
        <w:t xml:space="preserve"> </w:t>
      </w:r>
      <w:bookmarkStart w:id="3" w:name="_Hlk53428381"/>
      <w:r>
        <w:rPr>
          <w:b/>
          <w:bCs/>
        </w:rPr>
        <w:t>10Gig optického switchu do externých podmienok</w:t>
      </w:r>
      <w:bookmarkEnd w:id="3"/>
      <w:r w:rsidRPr="00AE1070">
        <w:rPr>
          <w:b/>
          <w:bCs/>
        </w:rPr>
        <w:t>.</w:t>
      </w:r>
      <w:r w:rsidRPr="00C249F9">
        <w:t xml:space="preserve"> </w:t>
      </w:r>
    </w:p>
    <w:p w14:paraId="3ED031C6" w14:textId="77777777" w:rsidR="006C5544" w:rsidRDefault="006C5544" w:rsidP="006C5544">
      <w:pPr>
        <w:jc w:val="both"/>
      </w:pPr>
    </w:p>
    <w:p w14:paraId="541257CA" w14:textId="77777777" w:rsidR="006C5544" w:rsidRPr="00A548E2" w:rsidRDefault="006C5544" w:rsidP="006C5544">
      <w:pPr>
        <w:rPr>
          <w:b/>
          <w:bCs/>
        </w:rPr>
      </w:pPr>
      <w:r w:rsidRPr="00A548E2">
        <w:rPr>
          <w:b/>
        </w:rPr>
        <w:t xml:space="preserve">Technická špecifikácia </w:t>
      </w:r>
      <w:r w:rsidRPr="00A548E2">
        <w:rPr>
          <w:b/>
          <w:bCs/>
        </w:rPr>
        <w:t>zariadení:</w:t>
      </w:r>
    </w:p>
    <w:p w14:paraId="5EBEB892" w14:textId="77777777" w:rsidR="006C5544" w:rsidRDefault="006C5544" w:rsidP="006C5544">
      <w:pPr>
        <w:jc w:val="both"/>
        <w:rPr>
          <w:bCs/>
        </w:rPr>
      </w:pPr>
      <w:r>
        <w:rPr>
          <w:bCs/>
        </w:rPr>
        <w:t>S</w:t>
      </w:r>
      <w:r w:rsidRPr="00A548E2">
        <w:rPr>
          <w:bCs/>
        </w:rPr>
        <w:t>ieťov</w:t>
      </w:r>
      <w:r>
        <w:rPr>
          <w:bCs/>
        </w:rPr>
        <w:t>é</w:t>
      </w:r>
      <w:r w:rsidRPr="00A548E2">
        <w:rPr>
          <w:bCs/>
        </w:rPr>
        <w:t xml:space="preserve"> zariaden</w:t>
      </w:r>
      <w:r>
        <w:rPr>
          <w:bCs/>
        </w:rPr>
        <w:t xml:space="preserve">ie – sieťový switch v množstve 1ks s minimálne </w:t>
      </w:r>
      <w:r w:rsidRPr="008511B0">
        <w:rPr>
          <w:bCs/>
        </w:rPr>
        <w:t xml:space="preserve">20xGE (4xRJ45, 16xSFP) </w:t>
      </w:r>
      <w:r>
        <w:rPr>
          <w:bCs/>
        </w:rPr>
        <w:br/>
      </w:r>
      <w:r w:rsidRPr="008511B0">
        <w:rPr>
          <w:bCs/>
        </w:rPr>
        <w:t>a 4x10GE portami s 12 ks SFP a ročnou HW a SW podporou</w:t>
      </w:r>
      <w:r>
        <w:rPr>
          <w:bCs/>
        </w:rPr>
        <w:t>.</w:t>
      </w:r>
    </w:p>
    <w:p w14:paraId="55BBB139" w14:textId="77777777" w:rsidR="006C5544" w:rsidRDefault="006C5544" w:rsidP="006C5544">
      <w:pPr>
        <w:jc w:val="both"/>
        <w:rPr>
          <w:bCs/>
        </w:rPr>
      </w:pPr>
    </w:p>
    <w:p w14:paraId="1C8ABF09" w14:textId="77777777" w:rsidR="006C5544" w:rsidRPr="003B4B2E" w:rsidRDefault="006C5544" w:rsidP="006C5544">
      <w:pPr>
        <w:pStyle w:val="Odsekzoznamu"/>
        <w:numPr>
          <w:ilvl w:val="0"/>
          <w:numId w:val="33"/>
        </w:numPr>
        <w:spacing w:after="160"/>
        <w:jc w:val="both"/>
      </w:pPr>
      <w:r>
        <w:t>S</w:t>
      </w:r>
      <w:r w:rsidRPr="003B4B2E">
        <w:t xml:space="preserve">amostatný L2/L3 switch určený do </w:t>
      </w:r>
      <w:r>
        <w:t>externého prostredia</w:t>
      </w:r>
    </w:p>
    <w:p w14:paraId="11CF8241" w14:textId="77777777" w:rsidR="006C5544" w:rsidRPr="003B4B2E" w:rsidRDefault="006C5544" w:rsidP="006C5544">
      <w:pPr>
        <w:pStyle w:val="Odsekzoznamu"/>
        <w:numPr>
          <w:ilvl w:val="0"/>
          <w:numId w:val="33"/>
        </w:numPr>
        <w:spacing w:after="160"/>
        <w:jc w:val="both"/>
      </w:pPr>
      <w:proofErr w:type="spellStart"/>
      <w:r>
        <w:t>Dual</w:t>
      </w:r>
      <w:proofErr w:type="spellEnd"/>
      <w:r>
        <w:t xml:space="preserve"> AC</w:t>
      </w:r>
      <w:r w:rsidRPr="003B4B2E">
        <w:t xml:space="preserve"> napájací zdroj</w:t>
      </w:r>
    </w:p>
    <w:p w14:paraId="60C4C41D" w14:textId="77777777" w:rsidR="006C5544" w:rsidRPr="003B4B2E" w:rsidRDefault="006C5544" w:rsidP="006C5544">
      <w:pPr>
        <w:pStyle w:val="Odsekzoznamu"/>
        <w:numPr>
          <w:ilvl w:val="0"/>
          <w:numId w:val="33"/>
        </w:numPr>
        <w:spacing w:after="160"/>
        <w:jc w:val="both"/>
      </w:pPr>
      <w:r>
        <w:t>M</w:t>
      </w:r>
      <w:r w:rsidRPr="003B4B2E">
        <w:t>ontovateľné do štandardného 19</w:t>
      </w:r>
      <w:r>
        <w:t>ʺ</w:t>
      </w:r>
      <w:r w:rsidRPr="003B4B2E">
        <w:t xml:space="preserve"> technologického stojanu</w:t>
      </w:r>
      <w:r>
        <w:t xml:space="preserve"> (príslušenstvo na montovanie do </w:t>
      </w:r>
      <w:proofErr w:type="spellStart"/>
      <w:r>
        <w:t>racku</w:t>
      </w:r>
      <w:proofErr w:type="spellEnd"/>
      <w:r>
        <w:t xml:space="preserve"> bude súčasťou predmetu zákazky)</w:t>
      </w:r>
    </w:p>
    <w:p w14:paraId="77A477D4" w14:textId="77777777" w:rsidR="006C5544" w:rsidRPr="00A5377C" w:rsidRDefault="006C5544" w:rsidP="006C5544">
      <w:pPr>
        <w:pStyle w:val="Odsekzoznamu"/>
        <w:numPr>
          <w:ilvl w:val="0"/>
          <w:numId w:val="33"/>
        </w:numPr>
        <w:spacing w:after="160"/>
        <w:jc w:val="both"/>
      </w:pPr>
      <w:r>
        <w:t>M</w:t>
      </w:r>
      <w:r w:rsidRPr="003B4B2E">
        <w:t>aximáln</w:t>
      </w:r>
      <w:r>
        <w:t>a</w:t>
      </w:r>
      <w:r w:rsidRPr="003B4B2E">
        <w:t xml:space="preserve"> veľkosť switchu 1</w:t>
      </w:r>
      <w:r>
        <w:t>U</w:t>
      </w:r>
      <w:r w:rsidRPr="00A5377C">
        <w:t xml:space="preserve"> </w:t>
      </w:r>
    </w:p>
    <w:p w14:paraId="7B960469" w14:textId="77777777" w:rsidR="006C5544" w:rsidRPr="00EB1403" w:rsidRDefault="006C5544" w:rsidP="006C5544">
      <w:pPr>
        <w:pStyle w:val="Odsekzoznamu"/>
        <w:numPr>
          <w:ilvl w:val="0"/>
          <w:numId w:val="33"/>
        </w:numPr>
        <w:spacing w:after="160"/>
      </w:pPr>
      <w:r>
        <w:rPr>
          <w:color w:val="000000"/>
        </w:rPr>
        <w:t xml:space="preserve">20xGE (4xRJ45, 16xSFP) + </w:t>
      </w:r>
      <w:r>
        <w:t>4</w:t>
      </w:r>
      <w:r w:rsidRPr="003B4B2E">
        <w:t>x10GBASE-X SFP+ (1Gb/10Gb porty)</w:t>
      </w:r>
    </w:p>
    <w:p w14:paraId="45342ED9" w14:textId="77777777" w:rsidR="006C5544" w:rsidRPr="006C1BBE" w:rsidRDefault="006C5544" w:rsidP="006C5544">
      <w:pPr>
        <w:pStyle w:val="Odsekzoznamu"/>
        <w:numPr>
          <w:ilvl w:val="0"/>
          <w:numId w:val="33"/>
        </w:numPr>
        <w:spacing w:after="160"/>
        <w:jc w:val="both"/>
      </w:pPr>
      <w:r>
        <w:t xml:space="preserve">Switch musí byť certifikovaný a spĺňať štandardy definované v Metro Ethernet </w:t>
      </w:r>
      <w:proofErr w:type="spellStart"/>
      <w:r>
        <w:t>Forum</w:t>
      </w:r>
      <w:proofErr w:type="spellEnd"/>
      <w:r>
        <w:t xml:space="preserve"> (MEF) 3.0 pre služby </w:t>
      </w:r>
      <w:proofErr w:type="spellStart"/>
      <w:r>
        <w:t>Carrier</w:t>
      </w:r>
      <w:proofErr w:type="spellEnd"/>
      <w:r>
        <w:t xml:space="preserve"> Ethernet a musí podporovať služby </w:t>
      </w:r>
      <w:r w:rsidRPr="00FF6704">
        <w:t>ELINE</w:t>
      </w:r>
      <w:r>
        <w:t>,</w:t>
      </w:r>
      <w:r w:rsidRPr="00FF6704">
        <w:t xml:space="preserve"> ELAN</w:t>
      </w:r>
      <w:r>
        <w:t xml:space="preserve">, </w:t>
      </w:r>
      <w:r w:rsidRPr="00FF6704">
        <w:t>ET</w:t>
      </w:r>
      <w:r>
        <w:t>REE</w:t>
      </w:r>
      <w:r w:rsidRPr="00FF6704">
        <w:t>, A</w:t>
      </w:r>
      <w:r>
        <w:t>CCESS</w:t>
      </w:r>
      <w:r w:rsidRPr="00FF6704">
        <w:t xml:space="preserve"> EL</w:t>
      </w:r>
      <w:r>
        <w:t>INE,</w:t>
      </w:r>
      <w:r w:rsidRPr="00FF6704">
        <w:t xml:space="preserve"> T</w:t>
      </w:r>
      <w:r>
        <w:t>RANSIT</w:t>
      </w:r>
      <w:r w:rsidRPr="00FF6704">
        <w:t xml:space="preserve"> EL</w:t>
      </w:r>
      <w:r>
        <w:t>INE a</w:t>
      </w:r>
      <w:r w:rsidRPr="00FF6704">
        <w:t xml:space="preserve"> s pokročilým časovaním a kvalitou služieb (</w:t>
      </w:r>
      <w:proofErr w:type="spellStart"/>
      <w:r w:rsidRPr="00FF6704">
        <w:t>QoS</w:t>
      </w:r>
      <w:proofErr w:type="spellEnd"/>
      <w:r w:rsidRPr="00FF6704">
        <w:t>).</w:t>
      </w:r>
    </w:p>
    <w:tbl>
      <w:tblPr>
        <w:tblW w:w="5000" w:type="pct"/>
        <w:shd w:val="clear" w:color="auto" w:fill="FFFFFF"/>
        <w:tblCellMar>
          <w:left w:w="0" w:type="dxa"/>
          <w:right w:w="0" w:type="dxa"/>
        </w:tblCellMar>
        <w:tblLook w:val="04A0" w:firstRow="1" w:lastRow="0" w:firstColumn="1" w:lastColumn="0" w:noHBand="0" w:noVBand="1"/>
      </w:tblPr>
      <w:tblGrid>
        <w:gridCol w:w="2742"/>
        <w:gridCol w:w="6752"/>
      </w:tblGrid>
      <w:tr w:rsidR="006C5544" w:rsidRPr="00313A9E" w14:paraId="27A2DB53"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DF61AA9" w14:textId="77777777" w:rsidR="006C5544" w:rsidRPr="00313A9E" w:rsidRDefault="006C5544" w:rsidP="00B15201">
            <w:pPr>
              <w:ind w:left="60" w:right="60"/>
              <w:textAlignment w:val="baseline"/>
              <w:rPr>
                <w:b/>
                <w:bCs/>
              </w:rPr>
            </w:pPr>
            <w:r>
              <w:rPr>
                <w:b/>
                <w:bCs/>
              </w:rPr>
              <w:t>P</w:t>
            </w:r>
            <w:r w:rsidRPr="00313A9E">
              <w:rPr>
                <w:b/>
                <w:bCs/>
              </w:rPr>
              <w:t>opis</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569D1CF" w14:textId="77777777" w:rsidR="006C5544" w:rsidRPr="00313A9E" w:rsidRDefault="006C5544" w:rsidP="00B15201">
            <w:pPr>
              <w:ind w:left="60" w:right="60"/>
              <w:textAlignment w:val="baseline"/>
              <w:rPr>
                <w:b/>
                <w:bCs/>
              </w:rPr>
            </w:pPr>
            <w:r w:rsidRPr="00313A9E">
              <w:rPr>
                <w:b/>
                <w:bCs/>
              </w:rPr>
              <w:t>Špecifikácia</w:t>
            </w:r>
          </w:p>
        </w:tc>
      </w:tr>
      <w:tr w:rsidR="006C5544" w:rsidRPr="00313A9E" w14:paraId="7DEA3B84"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DC4D2EC" w14:textId="77777777" w:rsidR="006C5544" w:rsidRPr="00313A9E" w:rsidRDefault="006C5544" w:rsidP="00B15201">
            <w:pPr>
              <w:ind w:left="60" w:right="60"/>
              <w:textAlignment w:val="baseline"/>
            </w:pPr>
            <w:r w:rsidRPr="00313A9E">
              <w:t>L2 vrstva</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2DC846B" w14:textId="77777777" w:rsidR="006C5544" w:rsidRPr="00313A9E" w:rsidRDefault="006C5544" w:rsidP="00B15201">
            <w:pPr>
              <w:ind w:left="60" w:right="60"/>
              <w:textAlignment w:val="baseline"/>
            </w:pPr>
            <w:proofErr w:type="spellStart"/>
            <w:r w:rsidRPr="00313A9E">
              <w:t>Layer</w:t>
            </w:r>
            <w:proofErr w:type="spellEnd"/>
            <w:r w:rsidRPr="00313A9E">
              <w:t xml:space="preserve"> 2 </w:t>
            </w:r>
            <w:proofErr w:type="spellStart"/>
            <w:r w:rsidRPr="00313A9E">
              <w:t>forwarding</w:t>
            </w:r>
            <w:proofErr w:type="spellEnd"/>
            <w:r w:rsidRPr="00313A9E">
              <w:t xml:space="preserve"> and </w:t>
            </w:r>
            <w:proofErr w:type="spellStart"/>
            <w:r w:rsidRPr="00313A9E">
              <w:t>bridging</w:t>
            </w:r>
            <w:proofErr w:type="spellEnd"/>
          </w:p>
          <w:p w14:paraId="10D0F12A" w14:textId="77777777" w:rsidR="006C5544" w:rsidRPr="00313A9E" w:rsidRDefault="006C5544" w:rsidP="00B15201">
            <w:pPr>
              <w:ind w:left="60" w:right="60"/>
              <w:textAlignment w:val="baseline"/>
            </w:pPr>
            <w:proofErr w:type="spellStart"/>
            <w:r w:rsidRPr="00313A9E">
              <w:t>Bridge</w:t>
            </w:r>
            <w:proofErr w:type="spellEnd"/>
            <w:r w:rsidRPr="00313A9E">
              <w:t xml:space="preserve"> </w:t>
            </w:r>
            <w:proofErr w:type="spellStart"/>
            <w:r w:rsidRPr="00313A9E">
              <w:t>Domains</w:t>
            </w:r>
            <w:proofErr w:type="spellEnd"/>
            <w:r w:rsidRPr="00313A9E">
              <w:t xml:space="preserve"> (BD)</w:t>
            </w:r>
          </w:p>
          <w:p w14:paraId="3AC08823" w14:textId="77777777" w:rsidR="006C5544" w:rsidRPr="00313A9E" w:rsidRDefault="006C5544" w:rsidP="00B15201">
            <w:pPr>
              <w:ind w:left="60" w:right="60"/>
              <w:textAlignment w:val="baseline"/>
            </w:pPr>
            <w:r w:rsidRPr="00313A9E">
              <w:t xml:space="preserve">Ethernet </w:t>
            </w:r>
            <w:proofErr w:type="spellStart"/>
            <w:r w:rsidRPr="00313A9E">
              <w:t>Flow</w:t>
            </w:r>
            <w:proofErr w:type="spellEnd"/>
            <w:r w:rsidRPr="00313A9E">
              <w:t xml:space="preserve"> Point (EFP)</w:t>
            </w:r>
          </w:p>
          <w:p w14:paraId="0733832E" w14:textId="77777777" w:rsidR="006C5544" w:rsidRPr="00313A9E" w:rsidRDefault="006C5544" w:rsidP="00B15201">
            <w:pPr>
              <w:ind w:left="60" w:right="60"/>
              <w:textAlignment w:val="baseline"/>
            </w:pPr>
            <w:r w:rsidRPr="00313A9E">
              <w:t xml:space="preserve">IEEE 802.1Q </w:t>
            </w:r>
            <w:proofErr w:type="spellStart"/>
            <w:r w:rsidRPr="00313A9E">
              <w:t>VLANs</w:t>
            </w:r>
            <w:proofErr w:type="spellEnd"/>
            <w:r w:rsidRPr="00313A9E">
              <w:t xml:space="preserve"> and Q-in-Q</w:t>
            </w:r>
          </w:p>
          <w:p w14:paraId="5E3C34BB" w14:textId="77777777" w:rsidR="006C5544" w:rsidRPr="00313A9E" w:rsidRDefault="006C5544" w:rsidP="00B15201">
            <w:pPr>
              <w:ind w:left="60" w:right="60"/>
              <w:textAlignment w:val="baseline"/>
            </w:pPr>
            <w:r w:rsidRPr="00313A9E">
              <w:t xml:space="preserve">Ethernet </w:t>
            </w:r>
            <w:proofErr w:type="spellStart"/>
            <w:r w:rsidRPr="00313A9E">
              <w:t>Link</w:t>
            </w:r>
            <w:proofErr w:type="spellEnd"/>
            <w:r w:rsidRPr="00313A9E">
              <w:t xml:space="preserve"> </w:t>
            </w:r>
            <w:proofErr w:type="spellStart"/>
            <w:r w:rsidRPr="00313A9E">
              <w:t>Aggregation</w:t>
            </w:r>
            <w:proofErr w:type="spellEnd"/>
            <w:r w:rsidRPr="00313A9E">
              <w:t xml:space="preserve"> Group (LAG)</w:t>
            </w:r>
          </w:p>
          <w:p w14:paraId="46BFCC8A" w14:textId="77777777" w:rsidR="006C5544" w:rsidRPr="00313A9E" w:rsidRDefault="006C5544" w:rsidP="00B15201">
            <w:pPr>
              <w:ind w:left="60" w:right="60"/>
              <w:textAlignment w:val="baseline"/>
            </w:pPr>
            <w:proofErr w:type="spellStart"/>
            <w:r w:rsidRPr="00313A9E">
              <w:t>Link</w:t>
            </w:r>
            <w:proofErr w:type="spellEnd"/>
            <w:r w:rsidRPr="00313A9E">
              <w:t xml:space="preserve"> </w:t>
            </w:r>
            <w:proofErr w:type="spellStart"/>
            <w:r w:rsidRPr="00313A9E">
              <w:t>Aggregation</w:t>
            </w:r>
            <w:proofErr w:type="spellEnd"/>
            <w:r w:rsidRPr="00313A9E">
              <w:t xml:space="preserve"> </w:t>
            </w:r>
            <w:proofErr w:type="spellStart"/>
            <w:r w:rsidRPr="00313A9E">
              <w:t>Control</w:t>
            </w:r>
            <w:proofErr w:type="spellEnd"/>
            <w:r w:rsidRPr="00313A9E">
              <w:t xml:space="preserve"> </w:t>
            </w:r>
            <w:proofErr w:type="spellStart"/>
            <w:r w:rsidRPr="00313A9E">
              <w:t>Protocol</w:t>
            </w:r>
            <w:proofErr w:type="spellEnd"/>
            <w:r w:rsidRPr="00313A9E">
              <w:t xml:space="preserve"> (LACP) 802.3ad</w:t>
            </w:r>
          </w:p>
          <w:p w14:paraId="4716A578" w14:textId="77777777" w:rsidR="006C5544" w:rsidRPr="00313A9E" w:rsidRDefault="006C5544" w:rsidP="00B15201">
            <w:pPr>
              <w:ind w:left="60" w:right="60"/>
              <w:textAlignment w:val="baseline"/>
            </w:pPr>
            <w:r w:rsidRPr="00313A9E">
              <w:t>G.8032</w:t>
            </w:r>
          </w:p>
          <w:p w14:paraId="4AD6D68B" w14:textId="77777777" w:rsidR="006C5544" w:rsidRPr="00313A9E" w:rsidRDefault="006C5544" w:rsidP="00B15201">
            <w:pPr>
              <w:ind w:left="60" w:right="60"/>
              <w:textAlignment w:val="baseline"/>
            </w:pPr>
            <w:proofErr w:type="spellStart"/>
            <w:r w:rsidRPr="00313A9E">
              <w:t>Jumbo</w:t>
            </w:r>
            <w:proofErr w:type="spellEnd"/>
            <w:r w:rsidRPr="00313A9E">
              <w:t xml:space="preserve"> </w:t>
            </w:r>
            <w:proofErr w:type="spellStart"/>
            <w:r w:rsidRPr="00313A9E">
              <w:t>frames</w:t>
            </w:r>
            <w:proofErr w:type="spellEnd"/>
            <w:r w:rsidRPr="00313A9E">
              <w:t xml:space="preserve"> na všetkých portoch</w:t>
            </w:r>
          </w:p>
          <w:p w14:paraId="2EF16631" w14:textId="77777777" w:rsidR="006C5544" w:rsidRPr="00313A9E" w:rsidRDefault="006C5544" w:rsidP="00B15201">
            <w:pPr>
              <w:ind w:left="60" w:right="60"/>
              <w:textAlignment w:val="baseline"/>
            </w:pPr>
            <w:r w:rsidRPr="00313A9E">
              <w:t>PVST, RPVST+</w:t>
            </w:r>
          </w:p>
        </w:tc>
      </w:tr>
      <w:tr w:rsidR="006C5544" w:rsidRPr="00313A9E" w14:paraId="20C80E23"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tcPr>
          <w:p w14:paraId="1DFA2F5E" w14:textId="77777777" w:rsidR="006C5544" w:rsidRPr="00313A9E" w:rsidRDefault="006C5544" w:rsidP="00B15201">
            <w:pPr>
              <w:ind w:left="60" w:right="60"/>
              <w:textAlignment w:val="baseline"/>
            </w:pPr>
            <w:r w:rsidRPr="00313A9E">
              <w:t>L3 vrstva</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tcPr>
          <w:p w14:paraId="21F7D8BB" w14:textId="77777777" w:rsidR="006C5544" w:rsidRPr="00313A9E" w:rsidRDefault="006C5544" w:rsidP="00B15201">
            <w:pPr>
              <w:ind w:left="60" w:right="60"/>
              <w:textAlignment w:val="baseline"/>
            </w:pPr>
            <w:r w:rsidRPr="00313A9E">
              <w:t xml:space="preserve">IPv4 </w:t>
            </w:r>
            <w:proofErr w:type="spellStart"/>
            <w:r w:rsidRPr="00313A9E">
              <w:t>unicast</w:t>
            </w:r>
            <w:proofErr w:type="spellEnd"/>
            <w:r w:rsidRPr="00313A9E">
              <w:t xml:space="preserve"> </w:t>
            </w:r>
            <w:proofErr w:type="spellStart"/>
            <w:r w:rsidRPr="00313A9E">
              <w:t>routing</w:t>
            </w:r>
            <w:proofErr w:type="spellEnd"/>
          </w:p>
          <w:p w14:paraId="3C423E86" w14:textId="77777777" w:rsidR="006C5544" w:rsidRPr="00313A9E" w:rsidRDefault="006C5544" w:rsidP="00B15201">
            <w:pPr>
              <w:ind w:left="60" w:right="60"/>
              <w:textAlignment w:val="baseline"/>
            </w:pPr>
            <w:proofErr w:type="spellStart"/>
            <w:r w:rsidRPr="00313A9E">
              <w:t>Virtual</w:t>
            </w:r>
            <w:proofErr w:type="spellEnd"/>
            <w:r w:rsidRPr="00313A9E">
              <w:t xml:space="preserve"> </w:t>
            </w:r>
            <w:proofErr w:type="spellStart"/>
            <w:r w:rsidRPr="00313A9E">
              <w:t>Routing</w:t>
            </w:r>
            <w:proofErr w:type="spellEnd"/>
            <w:r w:rsidRPr="00313A9E">
              <w:t xml:space="preserve"> and </w:t>
            </w:r>
            <w:proofErr w:type="spellStart"/>
            <w:r w:rsidRPr="00313A9E">
              <w:t>Forwarding</w:t>
            </w:r>
            <w:proofErr w:type="spellEnd"/>
            <w:r w:rsidRPr="00313A9E">
              <w:t xml:space="preserve"> (VRF) Lite</w:t>
            </w:r>
          </w:p>
          <w:p w14:paraId="5465642F" w14:textId="77777777" w:rsidR="006C5544" w:rsidRPr="00313A9E" w:rsidRDefault="006C5544" w:rsidP="00B15201">
            <w:pPr>
              <w:ind w:left="60" w:right="60"/>
              <w:textAlignment w:val="baseline"/>
            </w:pPr>
            <w:r w:rsidRPr="00313A9E">
              <w:t>OSPF/ISIS/BGP</w:t>
            </w:r>
          </w:p>
          <w:p w14:paraId="50C1402E" w14:textId="77777777" w:rsidR="006C5544" w:rsidRPr="00313A9E" w:rsidRDefault="006C5544" w:rsidP="00B15201">
            <w:pPr>
              <w:ind w:left="60" w:right="60"/>
              <w:textAlignment w:val="baseline"/>
            </w:pPr>
            <w:r w:rsidRPr="00313A9E">
              <w:t>VRRP/HSRP</w:t>
            </w:r>
          </w:p>
        </w:tc>
      </w:tr>
      <w:tr w:rsidR="006C5544" w:rsidRPr="00313A9E" w14:paraId="512B8687"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5D31DFF" w14:textId="77777777" w:rsidR="006C5544" w:rsidRPr="00313A9E" w:rsidRDefault="006C5544" w:rsidP="00B15201">
            <w:pPr>
              <w:ind w:left="60" w:right="60"/>
              <w:textAlignment w:val="baseline"/>
            </w:pPr>
            <w:r w:rsidRPr="00313A9E">
              <w:t xml:space="preserve">L2 </w:t>
            </w:r>
            <w:proofErr w:type="spellStart"/>
            <w:r w:rsidRPr="00313A9E">
              <w:t>Multicast</w:t>
            </w:r>
            <w:proofErr w:type="spellEnd"/>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7F328BD6" w14:textId="77777777" w:rsidR="006C5544" w:rsidRPr="00313A9E" w:rsidRDefault="006C5544" w:rsidP="00B15201">
            <w:pPr>
              <w:ind w:left="60" w:right="60"/>
              <w:textAlignment w:val="baseline"/>
            </w:pPr>
            <w:r w:rsidRPr="00313A9E">
              <w:t xml:space="preserve">IGMP </w:t>
            </w:r>
            <w:proofErr w:type="spellStart"/>
            <w:r w:rsidRPr="00313A9E">
              <w:t>Snooping</w:t>
            </w:r>
            <w:proofErr w:type="spellEnd"/>
          </w:p>
        </w:tc>
      </w:tr>
      <w:tr w:rsidR="006C5544" w:rsidRPr="00313A9E" w14:paraId="346E56B9"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DD4D791" w14:textId="77777777" w:rsidR="006C5544" w:rsidRPr="00313A9E" w:rsidRDefault="006C5544" w:rsidP="00B15201">
            <w:pPr>
              <w:ind w:left="60" w:right="60"/>
              <w:textAlignment w:val="baseline"/>
            </w:pPr>
            <w:proofErr w:type="spellStart"/>
            <w:r w:rsidRPr="00313A9E">
              <w:t>Quality</w:t>
            </w:r>
            <w:proofErr w:type="spellEnd"/>
            <w:r w:rsidRPr="00313A9E">
              <w:t xml:space="preserve"> of Service (</w:t>
            </w:r>
            <w:proofErr w:type="spellStart"/>
            <w:r w:rsidRPr="00313A9E">
              <w:t>QoS</w:t>
            </w:r>
            <w:proofErr w:type="spellEnd"/>
            <w:r w:rsidRPr="00313A9E">
              <w:t>)</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95E8615" w14:textId="77777777" w:rsidR="006C5544" w:rsidRPr="00313A9E" w:rsidRDefault="006C5544" w:rsidP="00B15201">
            <w:pPr>
              <w:ind w:left="60" w:right="60"/>
              <w:textAlignment w:val="baseline"/>
            </w:pPr>
            <w:proofErr w:type="spellStart"/>
            <w:r w:rsidRPr="00313A9E">
              <w:t>Class-based</w:t>
            </w:r>
            <w:proofErr w:type="spellEnd"/>
            <w:r w:rsidRPr="00313A9E">
              <w:t xml:space="preserve"> 3-level </w:t>
            </w:r>
            <w:proofErr w:type="spellStart"/>
            <w:r w:rsidRPr="00313A9E">
              <w:t>Hierarchical</w:t>
            </w:r>
            <w:proofErr w:type="spellEnd"/>
            <w:r w:rsidRPr="00313A9E">
              <w:t xml:space="preserve"> </w:t>
            </w:r>
            <w:proofErr w:type="spellStart"/>
            <w:r w:rsidRPr="00313A9E">
              <w:t>QoS</w:t>
            </w:r>
            <w:proofErr w:type="spellEnd"/>
          </w:p>
          <w:p w14:paraId="7A4A9424" w14:textId="77777777" w:rsidR="006C5544" w:rsidRPr="00313A9E" w:rsidRDefault="006C5544" w:rsidP="00B15201">
            <w:pPr>
              <w:ind w:left="60" w:right="60"/>
              <w:textAlignment w:val="baseline"/>
            </w:pPr>
            <w:proofErr w:type="spellStart"/>
            <w:r w:rsidRPr="00313A9E">
              <w:t>Policing</w:t>
            </w:r>
            <w:proofErr w:type="spellEnd"/>
            <w:r w:rsidRPr="00313A9E">
              <w:t xml:space="preserve">, </w:t>
            </w:r>
            <w:proofErr w:type="spellStart"/>
            <w:r w:rsidRPr="00313A9E">
              <w:t>Shaping</w:t>
            </w:r>
            <w:proofErr w:type="spellEnd"/>
          </w:p>
          <w:p w14:paraId="1A2211FB" w14:textId="77777777" w:rsidR="006C5544" w:rsidRPr="00313A9E" w:rsidRDefault="006C5544" w:rsidP="00B15201">
            <w:pPr>
              <w:ind w:left="60" w:right="60"/>
              <w:textAlignment w:val="baseline"/>
            </w:pPr>
            <w:r w:rsidRPr="00313A9E">
              <w:t xml:space="preserve">Priority </w:t>
            </w:r>
            <w:proofErr w:type="spellStart"/>
            <w:r w:rsidRPr="00313A9E">
              <w:t>queuing</w:t>
            </w:r>
            <w:proofErr w:type="spellEnd"/>
          </w:p>
          <w:p w14:paraId="2818890D" w14:textId="77777777" w:rsidR="006C5544" w:rsidRPr="00313A9E" w:rsidRDefault="006C5544" w:rsidP="00B15201">
            <w:pPr>
              <w:ind w:left="60" w:right="60"/>
              <w:textAlignment w:val="baseline"/>
            </w:pPr>
            <w:proofErr w:type="spellStart"/>
            <w:r w:rsidRPr="00313A9E">
              <w:t>Classification</w:t>
            </w:r>
            <w:proofErr w:type="spellEnd"/>
            <w:r w:rsidRPr="00313A9E">
              <w:t xml:space="preserve"> </w:t>
            </w:r>
            <w:proofErr w:type="spellStart"/>
            <w:r w:rsidRPr="00313A9E">
              <w:t>based</w:t>
            </w:r>
            <w:proofErr w:type="spellEnd"/>
            <w:r w:rsidRPr="00313A9E">
              <w:t xml:space="preserve"> on L2/L3 </w:t>
            </w:r>
            <w:proofErr w:type="spellStart"/>
            <w:r w:rsidRPr="00313A9E">
              <w:t>fields</w:t>
            </w:r>
            <w:proofErr w:type="spellEnd"/>
          </w:p>
          <w:p w14:paraId="504E7A68" w14:textId="77777777" w:rsidR="006C5544" w:rsidRPr="00313A9E" w:rsidRDefault="006C5544" w:rsidP="00B15201">
            <w:pPr>
              <w:ind w:left="60" w:right="60"/>
              <w:textAlignment w:val="baseline"/>
            </w:pPr>
            <w:proofErr w:type="spellStart"/>
            <w:r w:rsidRPr="00313A9E">
              <w:t>Remarking</w:t>
            </w:r>
            <w:proofErr w:type="spellEnd"/>
          </w:p>
          <w:p w14:paraId="6DBADAF2" w14:textId="77777777" w:rsidR="006C5544" w:rsidRPr="00313A9E" w:rsidRDefault="006C5544" w:rsidP="00B15201">
            <w:pPr>
              <w:ind w:left="60" w:right="60"/>
              <w:textAlignment w:val="baseline"/>
            </w:pPr>
            <w:proofErr w:type="spellStart"/>
            <w:r w:rsidRPr="00313A9E">
              <w:t>Deep</w:t>
            </w:r>
            <w:proofErr w:type="spellEnd"/>
            <w:r w:rsidRPr="00313A9E">
              <w:t xml:space="preserve"> </w:t>
            </w:r>
            <w:proofErr w:type="spellStart"/>
            <w:r w:rsidRPr="00313A9E">
              <w:t>packet</w:t>
            </w:r>
            <w:proofErr w:type="spellEnd"/>
            <w:r w:rsidRPr="00313A9E">
              <w:t xml:space="preserve"> buffer</w:t>
            </w:r>
          </w:p>
        </w:tc>
      </w:tr>
      <w:tr w:rsidR="006C5544" w:rsidRPr="00313A9E" w14:paraId="296E2A0D"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801C4C3" w14:textId="77777777" w:rsidR="006C5544" w:rsidRPr="00313A9E" w:rsidRDefault="006C5544" w:rsidP="00B15201">
            <w:pPr>
              <w:ind w:left="60" w:right="60"/>
              <w:textAlignment w:val="baseline"/>
            </w:pPr>
            <w:proofErr w:type="spellStart"/>
            <w:r w:rsidRPr="00313A9E">
              <w:t>Security</w:t>
            </w:r>
            <w:proofErr w:type="spellEnd"/>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46E6203E" w14:textId="77777777" w:rsidR="006C5544" w:rsidRPr="00313A9E" w:rsidRDefault="006C5544" w:rsidP="00B15201">
            <w:pPr>
              <w:ind w:left="60" w:right="60"/>
              <w:textAlignment w:val="baseline"/>
            </w:pPr>
            <w:proofErr w:type="spellStart"/>
            <w:r w:rsidRPr="00313A9E">
              <w:t>Secure</w:t>
            </w:r>
            <w:proofErr w:type="spellEnd"/>
            <w:r w:rsidRPr="00313A9E">
              <w:t xml:space="preserve"> </w:t>
            </w:r>
            <w:proofErr w:type="spellStart"/>
            <w:r w:rsidRPr="00313A9E">
              <w:t>Boot</w:t>
            </w:r>
            <w:proofErr w:type="spellEnd"/>
            <w:r w:rsidRPr="00313A9E">
              <w:t xml:space="preserve"> </w:t>
            </w:r>
            <w:proofErr w:type="spellStart"/>
            <w:r w:rsidRPr="00313A9E">
              <w:t>infrastructure</w:t>
            </w:r>
            <w:proofErr w:type="spellEnd"/>
            <w:r w:rsidRPr="00313A9E">
              <w:t xml:space="preserve"> </w:t>
            </w:r>
            <w:proofErr w:type="spellStart"/>
            <w:r w:rsidRPr="00313A9E">
              <w:t>with</w:t>
            </w:r>
            <w:proofErr w:type="spellEnd"/>
            <w:r w:rsidRPr="00313A9E">
              <w:t xml:space="preserve"> </w:t>
            </w:r>
            <w:proofErr w:type="spellStart"/>
            <w:r w:rsidRPr="00313A9E">
              <w:t>signed</w:t>
            </w:r>
            <w:proofErr w:type="spellEnd"/>
            <w:r w:rsidRPr="00313A9E">
              <w:t xml:space="preserve"> image</w:t>
            </w:r>
          </w:p>
          <w:p w14:paraId="056FB53B" w14:textId="77777777" w:rsidR="006C5544" w:rsidRPr="00313A9E" w:rsidRDefault="006C5544" w:rsidP="00B15201">
            <w:pPr>
              <w:ind w:left="60" w:right="60"/>
              <w:textAlignment w:val="baseline"/>
            </w:pPr>
            <w:proofErr w:type="spellStart"/>
            <w:r w:rsidRPr="00313A9E">
              <w:t>TrustAnchor</w:t>
            </w:r>
            <w:proofErr w:type="spellEnd"/>
            <w:r w:rsidRPr="00313A9E">
              <w:t xml:space="preserve"> module</w:t>
            </w:r>
          </w:p>
          <w:p w14:paraId="29884F95" w14:textId="77777777" w:rsidR="006C5544" w:rsidRPr="00313A9E" w:rsidRDefault="006C5544" w:rsidP="00B15201">
            <w:pPr>
              <w:ind w:left="60" w:right="60"/>
              <w:textAlignment w:val="baseline"/>
            </w:pPr>
            <w:proofErr w:type="spellStart"/>
            <w:r w:rsidRPr="00313A9E">
              <w:t>Secure</w:t>
            </w:r>
            <w:proofErr w:type="spellEnd"/>
            <w:r w:rsidRPr="00313A9E">
              <w:t xml:space="preserve"> JTAG</w:t>
            </w:r>
          </w:p>
          <w:p w14:paraId="6D61D4FA" w14:textId="77777777" w:rsidR="006C5544" w:rsidRPr="00313A9E" w:rsidRDefault="006C5544" w:rsidP="00B15201">
            <w:pPr>
              <w:ind w:left="60" w:right="60"/>
              <w:textAlignment w:val="baseline"/>
            </w:pPr>
            <w:r w:rsidRPr="00313A9E">
              <w:t xml:space="preserve">DHCP </w:t>
            </w:r>
            <w:proofErr w:type="spellStart"/>
            <w:r w:rsidRPr="00313A9E">
              <w:t>Snooping</w:t>
            </w:r>
            <w:proofErr w:type="spellEnd"/>
            <w:r w:rsidRPr="00313A9E">
              <w:t xml:space="preserve">, </w:t>
            </w:r>
            <w:proofErr w:type="spellStart"/>
            <w:r w:rsidRPr="00313A9E">
              <w:t>Dynamic</w:t>
            </w:r>
            <w:proofErr w:type="spellEnd"/>
            <w:r w:rsidRPr="00313A9E">
              <w:t xml:space="preserve"> ARP </w:t>
            </w:r>
            <w:proofErr w:type="spellStart"/>
            <w:r w:rsidRPr="00313A9E">
              <w:t>Inspection</w:t>
            </w:r>
            <w:proofErr w:type="spellEnd"/>
          </w:p>
          <w:p w14:paraId="5D347075" w14:textId="77777777" w:rsidR="006C5544" w:rsidRPr="00313A9E" w:rsidRDefault="006C5544" w:rsidP="00B15201">
            <w:pPr>
              <w:ind w:left="60" w:right="60"/>
              <w:textAlignment w:val="baseline"/>
            </w:pPr>
            <w:proofErr w:type="spellStart"/>
            <w:r w:rsidRPr="00313A9E">
              <w:t>Authentication</w:t>
            </w:r>
            <w:proofErr w:type="spellEnd"/>
            <w:r w:rsidRPr="00313A9E">
              <w:t xml:space="preserve">, </w:t>
            </w:r>
            <w:proofErr w:type="spellStart"/>
            <w:r w:rsidRPr="00313A9E">
              <w:t>Authorization</w:t>
            </w:r>
            <w:proofErr w:type="spellEnd"/>
            <w:r w:rsidRPr="00313A9E">
              <w:t xml:space="preserve">, and </w:t>
            </w:r>
            <w:proofErr w:type="spellStart"/>
            <w:r w:rsidRPr="00313A9E">
              <w:t>Accounting</w:t>
            </w:r>
            <w:proofErr w:type="spellEnd"/>
            <w:r w:rsidRPr="00313A9E">
              <w:t xml:space="preserve"> (AAA)</w:t>
            </w:r>
          </w:p>
          <w:p w14:paraId="3FCB193D" w14:textId="77777777" w:rsidR="006C5544" w:rsidRPr="00313A9E" w:rsidRDefault="006C5544" w:rsidP="00B15201">
            <w:pPr>
              <w:ind w:left="60" w:right="60"/>
              <w:textAlignment w:val="baseline"/>
            </w:pPr>
            <w:r w:rsidRPr="00313A9E">
              <w:lastRenderedPageBreak/>
              <w:t xml:space="preserve">Terminal Access </w:t>
            </w:r>
            <w:proofErr w:type="spellStart"/>
            <w:r w:rsidRPr="00313A9E">
              <w:t>Controller</w:t>
            </w:r>
            <w:proofErr w:type="spellEnd"/>
            <w:r w:rsidRPr="00313A9E">
              <w:t xml:space="preserve"> Access-</w:t>
            </w:r>
            <w:proofErr w:type="spellStart"/>
            <w:r w:rsidRPr="00313A9E">
              <w:t>Control</w:t>
            </w:r>
            <w:proofErr w:type="spellEnd"/>
            <w:r w:rsidRPr="00313A9E">
              <w:t xml:space="preserve"> </w:t>
            </w:r>
            <w:proofErr w:type="spellStart"/>
            <w:r w:rsidRPr="00313A9E">
              <w:t>System</w:t>
            </w:r>
            <w:proofErr w:type="spellEnd"/>
            <w:r w:rsidRPr="00313A9E">
              <w:t xml:space="preserve"> Plus (TACACS+)</w:t>
            </w:r>
          </w:p>
          <w:p w14:paraId="6D93FFBD" w14:textId="77777777" w:rsidR="006C5544" w:rsidRPr="00313A9E" w:rsidRDefault="006C5544" w:rsidP="00B15201">
            <w:pPr>
              <w:ind w:left="60" w:right="60"/>
              <w:textAlignment w:val="baseline"/>
            </w:pPr>
            <w:proofErr w:type="spellStart"/>
            <w:r w:rsidRPr="00313A9E">
              <w:t>Secure</w:t>
            </w:r>
            <w:proofErr w:type="spellEnd"/>
            <w:r w:rsidRPr="00313A9E">
              <w:t xml:space="preserve"> Shell (SSH)</w:t>
            </w:r>
          </w:p>
          <w:p w14:paraId="61C6F9E8" w14:textId="77777777" w:rsidR="006C5544" w:rsidRPr="00313A9E" w:rsidRDefault="006C5544" w:rsidP="00B15201">
            <w:pPr>
              <w:ind w:left="60" w:right="60"/>
              <w:textAlignment w:val="baseline"/>
            </w:pPr>
            <w:proofErr w:type="spellStart"/>
            <w:r w:rsidRPr="00313A9E">
              <w:t>Layer</w:t>
            </w:r>
            <w:proofErr w:type="spellEnd"/>
            <w:r w:rsidRPr="00313A9E">
              <w:t xml:space="preserve"> 2 </w:t>
            </w:r>
            <w:proofErr w:type="spellStart"/>
            <w:r w:rsidRPr="00313A9E">
              <w:t>ingress</w:t>
            </w:r>
            <w:proofErr w:type="spellEnd"/>
            <w:r w:rsidRPr="00313A9E">
              <w:t xml:space="preserve"> </w:t>
            </w:r>
            <w:proofErr w:type="spellStart"/>
            <w:r w:rsidRPr="00313A9E">
              <w:t>ACLs</w:t>
            </w:r>
            <w:proofErr w:type="spellEnd"/>
          </w:p>
        </w:tc>
      </w:tr>
      <w:tr w:rsidR="006C5544" w:rsidRPr="00313A9E" w14:paraId="60B68C7F"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24FF65D" w14:textId="77777777" w:rsidR="006C5544" w:rsidRPr="00313A9E" w:rsidRDefault="006C5544" w:rsidP="00B15201">
            <w:pPr>
              <w:ind w:left="60" w:right="60"/>
              <w:textAlignment w:val="baseline"/>
            </w:pPr>
            <w:r w:rsidRPr="00313A9E">
              <w:lastRenderedPageBreak/>
              <w:t>OAM</w:t>
            </w:r>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0AB05C2" w14:textId="77777777" w:rsidR="006C5544" w:rsidRPr="00313A9E" w:rsidRDefault="006C5544" w:rsidP="00B15201">
            <w:pPr>
              <w:ind w:left="60" w:right="60"/>
              <w:textAlignment w:val="baseline"/>
            </w:pPr>
            <w:r w:rsidRPr="00313A9E">
              <w:t>1731 PM</w:t>
            </w:r>
          </w:p>
          <w:p w14:paraId="4C08B141" w14:textId="77777777" w:rsidR="006C5544" w:rsidRPr="00313A9E" w:rsidRDefault="006C5544" w:rsidP="00B15201">
            <w:pPr>
              <w:ind w:left="60" w:right="60"/>
              <w:textAlignment w:val="baseline"/>
            </w:pPr>
            <w:r w:rsidRPr="00313A9E">
              <w:t xml:space="preserve">802.1ag CFM </w:t>
            </w:r>
            <w:proofErr w:type="spellStart"/>
            <w:r w:rsidRPr="00313A9E">
              <w:t>standards</w:t>
            </w:r>
            <w:proofErr w:type="spellEnd"/>
          </w:p>
          <w:p w14:paraId="0484E9ED" w14:textId="77777777" w:rsidR="006C5544" w:rsidRPr="00313A9E" w:rsidRDefault="006C5544" w:rsidP="00B15201">
            <w:pPr>
              <w:ind w:left="60" w:right="60"/>
              <w:textAlignment w:val="baseline"/>
            </w:pPr>
            <w:r w:rsidRPr="00313A9E">
              <w:t>Y.1564</w:t>
            </w:r>
          </w:p>
          <w:p w14:paraId="7A0EDE5E" w14:textId="77777777" w:rsidR="006C5544" w:rsidRPr="00313A9E" w:rsidRDefault="006C5544" w:rsidP="00B15201">
            <w:pPr>
              <w:ind w:left="60" w:right="60"/>
              <w:textAlignment w:val="baseline"/>
            </w:pPr>
            <w:r w:rsidRPr="00313A9E">
              <w:t>CDP, LLDP, ICMP</w:t>
            </w:r>
          </w:p>
          <w:p w14:paraId="2775C1F9" w14:textId="77777777" w:rsidR="006C5544" w:rsidRPr="00313A9E" w:rsidRDefault="006C5544" w:rsidP="00B15201">
            <w:pPr>
              <w:ind w:left="60" w:right="60"/>
              <w:textAlignment w:val="baseline"/>
            </w:pPr>
            <w:r w:rsidRPr="00313A9E">
              <w:t>Ethernet OAM: CFM, Y.1731 DM/SLM</w:t>
            </w:r>
          </w:p>
          <w:p w14:paraId="6B9F30D1" w14:textId="77777777" w:rsidR="006C5544" w:rsidRPr="00313A9E" w:rsidRDefault="006C5544" w:rsidP="00B15201">
            <w:pPr>
              <w:ind w:left="60" w:right="60"/>
              <w:textAlignment w:val="baseline"/>
            </w:pPr>
            <w:r w:rsidRPr="00313A9E">
              <w:t xml:space="preserve">TWAMP </w:t>
            </w:r>
            <w:proofErr w:type="spellStart"/>
            <w:r w:rsidRPr="00313A9E">
              <w:t>Responder</w:t>
            </w:r>
            <w:proofErr w:type="spellEnd"/>
          </w:p>
          <w:p w14:paraId="5520A714" w14:textId="77777777" w:rsidR="006C5544" w:rsidRPr="00313A9E" w:rsidRDefault="006C5544" w:rsidP="00B15201">
            <w:pPr>
              <w:ind w:left="60" w:right="60"/>
              <w:textAlignment w:val="baseline"/>
            </w:pPr>
            <w:r w:rsidRPr="00313A9E">
              <w:t>SPAN</w:t>
            </w:r>
          </w:p>
        </w:tc>
      </w:tr>
      <w:tr w:rsidR="006C5544" w:rsidRPr="00313A9E" w14:paraId="3A3F531B" w14:textId="77777777" w:rsidTr="00B15201">
        <w:tc>
          <w:tcPr>
            <w:tcW w:w="1444"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638C2FF" w14:textId="77777777" w:rsidR="006C5544" w:rsidRPr="00313A9E" w:rsidRDefault="006C5544" w:rsidP="00B15201">
            <w:pPr>
              <w:ind w:left="60" w:right="60"/>
              <w:textAlignment w:val="baseline"/>
            </w:pPr>
            <w:proofErr w:type="spellStart"/>
            <w:r w:rsidRPr="00313A9E">
              <w:t>Manažovateľnosť</w:t>
            </w:r>
            <w:proofErr w:type="spellEnd"/>
          </w:p>
        </w:tc>
        <w:tc>
          <w:tcPr>
            <w:tcW w:w="3556"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A9D88D3" w14:textId="77777777" w:rsidR="006C5544" w:rsidRPr="00313A9E" w:rsidRDefault="006C5544" w:rsidP="00B15201">
            <w:pPr>
              <w:ind w:left="60" w:right="60"/>
              <w:textAlignment w:val="baseline"/>
            </w:pPr>
            <w:r w:rsidRPr="00313A9E">
              <w:t>CLI</w:t>
            </w:r>
          </w:p>
          <w:p w14:paraId="6896FED6" w14:textId="77777777" w:rsidR="006C5544" w:rsidRPr="00313A9E" w:rsidRDefault="006C5544" w:rsidP="00B15201">
            <w:pPr>
              <w:ind w:left="60" w:right="60"/>
              <w:textAlignment w:val="baseline"/>
            </w:pPr>
            <w:r w:rsidRPr="00313A9E">
              <w:t>SNMP MIB</w:t>
            </w:r>
          </w:p>
          <w:p w14:paraId="03BB3F13" w14:textId="77777777" w:rsidR="006C5544" w:rsidRPr="00313A9E" w:rsidRDefault="006C5544" w:rsidP="00B15201">
            <w:pPr>
              <w:ind w:left="60" w:right="60"/>
              <w:textAlignment w:val="baseline"/>
            </w:pPr>
            <w:proofErr w:type="spellStart"/>
            <w:r w:rsidRPr="00313A9E">
              <w:t>Managed</w:t>
            </w:r>
            <w:proofErr w:type="spellEnd"/>
            <w:r w:rsidRPr="00313A9E">
              <w:t xml:space="preserve"> by EPN-M</w:t>
            </w:r>
          </w:p>
          <w:p w14:paraId="416F5B86" w14:textId="77777777" w:rsidR="006C5544" w:rsidRPr="00313A9E" w:rsidRDefault="006C5544" w:rsidP="00B15201">
            <w:pPr>
              <w:ind w:left="60" w:right="60"/>
              <w:textAlignment w:val="baseline"/>
            </w:pPr>
            <w:r w:rsidRPr="00313A9E">
              <w:t xml:space="preserve">Môže byť </w:t>
            </w:r>
            <w:proofErr w:type="spellStart"/>
            <w:r w:rsidRPr="00313A9E">
              <w:t>managed</w:t>
            </w:r>
            <w:proofErr w:type="spellEnd"/>
            <w:r w:rsidRPr="00313A9E">
              <w:t xml:space="preserve"> by NSO (cli NED)</w:t>
            </w:r>
          </w:p>
          <w:p w14:paraId="6816F02E" w14:textId="77777777" w:rsidR="006C5544" w:rsidRPr="00313A9E" w:rsidRDefault="006C5544" w:rsidP="00B15201">
            <w:pPr>
              <w:ind w:left="60" w:right="60"/>
              <w:textAlignment w:val="baseline"/>
            </w:pPr>
            <w:r w:rsidRPr="00313A9E">
              <w:t>NETCONF</w:t>
            </w:r>
          </w:p>
          <w:p w14:paraId="53090002" w14:textId="77777777" w:rsidR="006C5544" w:rsidRPr="00313A9E" w:rsidRDefault="006C5544" w:rsidP="00B15201">
            <w:pPr>
              <w:ind w:left="60" w:right="60"/>
              <w:textAlignment w:val="baseline"/>
            </w:pPr>
            <w:r w:rsidRPr="00313A9E">
              <w:t xml:space="preserve">YANG </w:t>
            </w:r>
            <w:proofErr w:type="spellStart"/>
            <w:r w:rsidRPr="00313A9E">
              <w:t>models</w:t>
            </w:r>
            <w:proofErr w:type="spellEnd"/>
            <w:r w:rsidRPr="00313A9E">
              <w:t xml:space="preserve"> (</w:t>
            </w:r>
            <w:proofErr w:type="spellStart"/>
            <w:r w:rsidRPr="00313A9E">
              <w:t>native</w:t>
            </w:r>
            <w:proofErr w:type="spellEnd"/>
            <w:r w:rsidRPr="00313A9E">
              <w:t xml:space="preserve">, </w:t>
            </w:r>
            <w:proofErr w:type="spellStart"/>
            <w:r w:rsidRPr="00313A9E">
              <w:t>open</w:t>
            </w:r>
            <w:proofErr w:type="spellEnd"/>
            <w:r w:rsidRPr="00313A9E">
              <w:t xml:space="preserve">: </w:t>
            </w:r>
            <w:proofErr w:type="spellStart"/>
            <w:r w:rsidRPr="00313A9E">
              <w:t>OpenConfig</w:t>
            </w:r>
            <w:proofErr w:type="spellEnd"/>
            <w:r w:rsidRPr="00313A9E">
              <w:t>, IETF)</w:t>
            </w:r>
          </w:p>
          <w:p w14:paraId="1B522AC4" w14:textId="77777777" w:rsidR="006C5544" w:rsidRPr="00313A9E" w:rsidRDefault="006C5544" w:rsidP="00B15201">
            <w:pPr>
              <w:ind w:left="60" w:right="60"/>
              <w:textAlignment w:val="baseline"/>
            </w:pPr>
            <w:proofErr w:type="spellStart"/>
            <w:r w:rsidRPr="00313A9E">
              <w:t>Zero-Touch</w:t>
            </w:r>
            <w:proofErr w:type="spellEnd"/>
            <w:r w:rsidRPr="00313A9E">
              <w:t xml:space="preserve"> </w:t>
            </w:r>
            <w:proofErr w:type="spellStart"/>
            <w:r w:rsidRPr="00313A9E">
              <w:t>Provisioning</w:t>
            </w:r>
            <w:proofErr w:type="spellEnd"/>
            <w:r w:rsidRPr="00313A9E">
              <w:t xml:space="preserve"> (ZTP)</w:t>
            </w:r>
          </w:p>
        </w:tc>
      </w:tr>
    </w:tbl>
    <w:p w14:paraId="2A640B9A" w14:textId="77777777" w:rsidR="006C5544" w:rsidRDefault="006C5544" w:rsidP="006C5544">
      <w:pPr>
        <w:rPr>
          <w:b/>
          <w:bCs/>
        </w:rPr>
      </w:pPr>
    </w:p>
    <w:p w14:paraId="5B1DCFC9" w14:textId="77777777" w:rsidR="006C5544" w:rsidRPr="00106AD9" w:rsidRDefault="006C5544" w:rsidP="006C5544">
      <w:pPr>
        <w:shd w:val="clear" w:color="auto" w:fill="FFFFFF"/>
        <w:textAlignment w:val="top"/>
        <w:rPr>
          <w:b/>
          <w:bCs/>
        </w:rPr>
      </w:pPr>
      <w:r w:rsidRPr="00106AD9">
        <w:rPr>
          <w:b/>
          <w:bCs/>
          <w:shd w:val="clear" w:color="auto" w:fill="FFFFFF"/>
        </w:rPr>
        <w:t>Špecifikácia systému</w:t>
      </w:r>
    </w:p>
    <w:tbl>
      <w:tblPr>
        <w:tblW w:w="4994" w:type="pct"/>
        <w:shd w:val="clear" w:color="auto" w:fill="FFFFFF"/>
        <w:tblCellMar>
          <w:left w:w="0" w:type="dxa"/>
          <w:right w:w="0" w:type="dxa"/>
        </w:tblCellMar>
        <w:tblLook w:val="04A0" w:firstRow="1" w:lastRow="0" w:firstColumn="1" w:lastColumn="0" w:noHBand="0" w:noVBand="1"/>
      </w:tblPr>
      <w:tblGrid>
        <w:gridCol w:w="2962"/>
        <w:gridCol w:w="6521"/>
      </w:tblGrid>
      <w:tr w:rsidR="006C5544" w:rsidRPr="00106AD9" w14:paraId="180DA50F"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1B93EBE" w14:textId="77777777" w:rsidR="006C5544" w:rsidRPr="00106AD9" w:rsidRDefault="006C5544" w:rsidP="00B15201">
            <w:pPr>
              <w:ind w:left="60" w:right="60"/>
              <w:textAlignment w:val="baseline"/>
              <w:rPr>
                <w:b/>
                <w:bCs/>
              </w:rPr>
            </w:pPr>
            <w:r w:rsidRPr="00106AD9">
              <w:rPr>
                <w:b/>
                <w:bCs/>
              </w:rPr>
              <w:t>Popis</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AA8C801" w14:textId="77777777" w:rsidR="006C5544" w:rsidRPr="00106AD9" w:rsidRDefault="006C5544" w:rsidP="00B15201">
            <w:pPr>
              <w:ind w:left="60" w:right="60"/>
              <w:textAlignment w:val="baseline"/>
              <w:rPr>
                <w:b/>
                <w:bCs/>
              </w:rPr>
            </w:pPr>
            <w:r w:rsidRPr="00106AD9">
              <w:rPr>
                <w:b/>
                <w:bCs/>
              </w:rPr>
              <w:t>24 Port switch</w:t>
            </w:r>
          </w:p>
        </w:tc>
      </w:tr>
      <w:tr w:rsidR="006C5544" w:rsidRPr="00106AD9" w14:paraId="5017E314" w14:textId="77777777" w:rsidTr="00B15201">
        <w:trPr>
          <w:trHeight w:val="613"/>
        </w:trPr>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E81E9FE" w14:textId="77777777" w:rsidR="006C5544" w:rsidRDefault="006C5544" w:rsidP="00B15201">
            <w:pPr>
              <w:ind w:right="60"/>
              <w:textAlignment w:val="baseline"/>
            </w:pPr>
            <w:r>
              <w:t>F</w:t>
            </w:r>
            <w:r w:rsidRPr="00106AD9">
              <w:t>yzická špecifikácia</w:t>
            </w:r>
            <w:r>
              <w:t xml:space="preserve"> (min.)</w:t>
            </w:r>
          </w:p>
          <w:p w14:paraId="38FAA24B" w14:textId="77777777" w:rsidR="006C5544" w:rsidRPr="00106AD9" w:rsidRDefault="006C5544" w:rsidP="00B15201">
            <w:pPr>
              <w:ind w:right="60"/>
              <w:textAlignment w:val="baseline"/>
            </w:pPr>
            <w:r>
              <w:t>Váha (min.)</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230FC1B" w14:textId="77777777" w:rsidR="006C5544" w:rsidRDefault="006C5544" w:rsidP="00B15201">
            <w:pPr>
              <w:ind w:left="60" w:right="60"/>
              <w:textAlignment w:val="baseline"/>
            </w:pPr>
            <w:r w:rsidRPr="00106AD9">
              <w:t>V</w:t>
            </w:r>
            <w:r>
              <w:t>ýška</w:t>
            </w:r>
            <w:r w:rsidRPr="00106AD9">
              <w:t>: 4</w:t>
            </w:r>
            <w:r>
              <w:t>,</w:t>
            </w:r>
            <w:r w:rsidRPr="00106AD9">
              <w:t>40 cm, 1 RU; Š</w:t>
            </w:r>
            <w:r>
              <w:t>írka</w:t>
            </w:r>
            <w:r w:rsidRPr="00106AD9">
              <w:t>: 44</w:t>
            </w:r>
            <w:r>
              <w:t>,</w:t>
            </w:r>
            <w:r w:rsidRPr="00106AD9">
              <w:t>40 cm; H</w:t>
            </w:r>
            <w:r>
              <w:t>ĺbka:</w:t>
            </w:r>
            <w:r w:rsidRPr="00106AD9">
              <w:t xml:space="preserve"> 22,8 cm </w:t>
            </w:r>
          </w:p>
          <w:p w14:paraId="2C4437A8" w14:textId="77777777" w:rsidR="006C5544" w:rsidRPr="00106AD9" w:rsidRDefault="006C5544" w:rsidP="00B15201">
            <w:pPr>
              <w:ind w:left="60" w:right="60"/>
              <w:textAlignment w:val="baseline"/>
            </w:pPr>
            <w:r w:rsidRPr="00106AD9">
              <w:t xml:space="preserve"> 3</w:t>
            </w:r>
            <w:r>
              <w:t>,</w:t>
            </w:r>
            <w:r w:rsidRPr="00106AD9">
              <w:t>7 kg</w:t>
            </w:r>
          </w:p>
        </w:tc>
      </w:tr>
      <w:tr w:rsidR="006C5544" w:rsidRPr="00106AD9" w14:paraId="19D4B60E"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F6F45D7" w14:textId="77777777" w:rsidR="006C5544" w:rsidRPr="00106AD9" w:rsidRDefault="006C5544" w:rsidP="00B15201">
            <w:pPr>
              <w:ind w:left="60" w:right="60"/>
              <w:textAlignment w:val="baseline"/>
            </w:pPr>
            <w:r w:rsidRPr="00106AD9">
              <w:t>Technologický stojan</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AD71F33" w14:textId="77777777" w:rsidR="006C5544" w:rsidRPr="00106AD9" w:rsidRDefault="006C5544" w:rsidP="00B15201">
            <w:pPr>
              <w:ind w:left="60" w:right="60"/>
              <w:textAlignment w:val="baseline"/>
            </w:pPr>
            <w:r w:rsidRPr="00106AD9">
              <w:t xml:space="preserve">ETSI súprava do technologického stojanu - 19ʺ </w:t>
            </w:r>
            <w:proofErr w:type="spellStart"/>
            <w:r w:rsidRPr="00106AD9">
              <w:t>rack</w:t>
            </w:r>
            <w:proofErr w:type="spellEnd"/>
          </w:p>
        </w:tc>
      </w:tr>
      <w:tr w:rsidR="006C5544" w:rsidRPr="00106AD9" w14:paraId="64DD23D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058F85A" w14:textId="77777777" w:rsidR="006C5544" w:rsidRPr="00106AD9" w:rsidRDefault="006C5544" w:rsidP="00B15201">
            <w:pPr>
              <w:ind w:left="60" w:right="60"/>
              <w:textAlignment w:val="baseline"/>
            </w:pPr>
            <w:r w:rsidRPr="00106AD9">
              <w:t>Napájanie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403C5030" w14:textId="77777777" w:rsidR="006C5544" w:rsidRPr="00106AD9" w:rsidRDefault="006C5544" w:rsidP="00B15201">
            <w:pPr>
              <w:ind w:left="60" w:right="60"/>
              <w:textAlignment w:val="baseline"/>
            </w:pPr>
            <w:proofErr w:type="spellStart"/>
            <w:r w:rsidRPr="00106AD9">
              <w:t>dual</w:t>
            </w:r>
            <w:proofErr w:type="spellEnd"/>
            <w:r w:rsidRPr="00106AD9">
              <w:t xml:space="preserve"> AC</w:t>
            </w:r>
          </w:p>
        </w:tc>
      </w:tr>
      <w:tr w:rsidR="006C5544" w:rsidRPr="00106AD9" w14:paraId="534EF31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2B3F5BA" w14:textId="77777777" w:rsidR="006C5544" w:rsidRPr="00106AD9" w:rsidRDefault="006C5544" w:rsidP="00B15201">
            <w:pPr>
              <w:ind w:left="60" w:right="60"/>
              <w:textAlignment w:val="baseline"/>
            </w:pPr>
            <w:r w:rsidRPr="00106AD9">
              <w:t>Chassis MTBF pri 40ºC</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CE68A28" w14:textId="77777777" w:rsidR="006C5544" w:rsidRPr="00106AD9" w:rsidRDefault="006C5544" w:rsidP="00B15201">
            <w:pPr>
              <w:ind w:right="60"/>
              <w:textAlignment w:val="baseline"/>
            </w:pPr>
            <w:r w:rsidRPr="00106AD9">
              <w:t xml:space="preserve"> min. 348</w:t>
            </w:r>
            <w:r>
              <w:t xml:space="preserve"> </w:t>
            </w:r>
            <w:r w:rsidRPr="00106AD9">
              <w:t>000 hodín</w:t>
            </w:r>
          </w:p>
        </w:tc>
      </w:tr>
      <w:tr w:rsidR="006C5544" w:rsidRPr="00106AD9" w14:paraId="3AB4F3CA"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6D10CBB" w14:textId="77777777" w:rsidR="006C5544" w:rsidRPr="00106AD9" w:rsidRDefault="006C5544" w:rsidP="00B15201">
            <w:pPr>
              <w:ind w:left="60" w:right="60"/>
              <w:textAlignment w:val="baseline"/>
            </w:pPr>
            <w:r w:rsidRPr="00106AD9">
              <w:t>Chladenie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CE22511" w14:textId="77777777" w:rsidR="006C5544" w:rsidRPr="00106AD9" w:rsidRDefault="006C5544" w:rsidP="00B15201">
            <w:pPr>
              <w:ind w:left="60" w:right="60"/>
              <w:textAlignment w:val="baseline"/>
            </w:pPr>
            <w:r w:rsidRPr="00106AD9">
              <w:t>Spredu dozadu</w:t>
            </w:r>
          </w:p>
        </w:tc>
      </w:tr>
    </w:tbl>
    <w:p w14:paraId="4AF9548A" w14:textId="77777777" w:rsidR="006C5544" w:rsidRPr="00106AD9" w:rsidRDefault="006C5544" w:rsidP="006C5544">
      <w:pPr>
        <w:shd w:val="clear" w:color="auto" w:fill="FFFFFF"/>
        <w:textAlignment w:val="top"/>
        <w:rPr>
          <w:b/>
          <w:bCs/>
        </w:rPr>
      </w:pPr>
    </w:p>
    <w:p w14:paraId="5A2D08E6" w14:textId="77777777" w:rsidR="006C5544" w:rsidRPr="00106AD9" w:rsidRDefault="006C5544" w:rsidP="006C5544">
      <w:pPr>
        <w:shd w:val="clear" w:color="auto" w:fill="FFFFFF"/>
        <w:textAlignment w:val="baseline"/>
      </w:pPr>
      <w:r w:rsidRPr="00106AD9">
        <w:rPr>
          <w:b/>
          <w:bCs/>
        </w:rPr>
        <w:t>Špecifikácia napájania</w:t>
      </w:r>
    </w:p>
    <w:tbl>
      <w:tblPr>
        <w:tblW w:w="4994" w:type="pct"/>
        <w:tblCellMar>
          <w:left w:w="0" w:type="dxa"/>
          <w:right w:w="0" w:type="dxa"/>
        </w:tblCellMar>
        <w:tblLook w:val="04A0" w:firstRow="1" w:lastRow="0" w:firstColumn="1" w:lastColumn="0" w:noHBand="0" w:noVBand="1"/>
      </w:tblPr>
      <w:tblGrid>
        <w:gridCol w:w="2962"/>
        <w:gridCol w:w="6521"/>
      </w:tblGrid>
      <w:tr w:rsidR="006C5544" w:rsidRPr="00106AD9" w14:paraId="4D6B2726"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0CBB466F" w14:textId="77777777" w:rsidR="006C5544" w:rsidRPr="00106AD9" w:rsidRDefault="006C5544" w:rsidP="00B15201">
            <w:pPr>
              <w:ind w:left="60" w:right="60"/>
              <w:textAlignment w:val="baseline"/>
              <w:rPr>
                <w:b/>
                <w:bCs/>
              </w:rPr>
            </w:pPr>
            <w:r w:rsidRPr="00106AD9">
              <w:rPr>
                <w:b/>
                <w:bCs/>
              </w:rPr>
              <w:t>Popis</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0789D2DD" w14:textId="77777777" w:rsidR="006C5544" w:rsidRPr="00106AD9" w:rsidRDefault="006C5544" w:rsidP="00B15201">
            <w:pPr>
              <w:ind w:left="60" w:right="60"/>
              <w:textAlignment w:val="baseline"/>
              <w:rPr>
                <w:b/>
                <w:bCs/>
              </w:rPr>
            </w:pPr>
          </w:p>
        </w:tc>
      </w:tr>
      <w:tr w:rsidR="006C5544" w:rsidRPr="00106AD9" w14:paraId="01FDBD3C"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22C9C5DB" w14:textId="77777777" w:rsidR="006C5544" w:rsidRPr="00106AD9" w:rsidRDefault="006C5544" w:rsidP="00B15201">
            <w:pPr>
              <w:ind w:left="60" w:right="60"/>
              <w:textAlignment w:val="baseline"/>
            </w:pPr>
            <w:r w:rsidRPr="00106AD9">
              <w:t>Spotreba energie</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31B82F5C" w14:textId="77777777" w:rsidR="006C5544" w:rsidRPr="00106AD9" w:rsidRDefault="006C5544" w:rsidP="00B15201">
            <w:pPr>
              <w:ind w:left="60" w:right="60"/>
              <w:textAlignment w:val="baseline"/>
            </w:pPr>
            <w:r w:rsidRPr="00106AD9">
              <w:t>Max príkon pre 24 Port je 110W</w:t>
            </w:r>
          </w:p>
        </w:tc>
      </w:tr>
      <w:tr w:rsidR="006C5544" w:rsidRPr="00106AD9" w14:paraId="728EA5E1" w14:textId="77777777" w:rsidTr="00B15201">
        <w:tc>
          <w:tcPr>
            <w:tcW w:w="1562"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7E514DFB" w14:textId="77777777" w:rsidR="006C5544" w:rsidRPr="00106AD9" w:rsidRDefault="006C5544" w:rsidP="00B15201">
            <w:pPr>
              <w:ind w:left="60" w:right="60"/>
              <w:textAlignment w:val="baseline"/>
            </w:pPr>
            <w:r w:rsidRPr="00106AD9">
              <w:t xml:space="preserve">Vstupné napätie  </w:t>
            </w:r>
            <w:r>
              <w:t>F</w:t>
            </w:r>
            <w:r w:rsidRPr="00106AD9">
              <w:t>rekvencia</w:t>
            </w:r>
          </w:p>
        </w:tc>
        <w:tc>
          <w:tcPr>
            <w:tcW w:w="3438" w:type="pct"/>
            <w:tcBorders>
              <w:top w:val="single" w:sz="12" w:space="0" w:color="CCCCCC"/>
              <w:left w:val="single" w:sz="12" w:space="0" w:color="CCCCCC"/>
              <w:bottom w:val="single" w:sz="12" w:space="0" w:color="CCCCCC"/>
              <w:right w:val="single" w:sz="12" w:space="0" w:color="CCCCCC"/>
            </w:tcBorders>
            <w:tcMar>
              <w:top w:w="75" w:type="dxa"/>
              <w:left w:w="75" w:type="dxa"/>
              <w:bottom w:w="75" w:type="dxa"/>
              <w:right w:w="75" w:type="dxa"/>
            </w:tcMar>
            <w:vAlign w:val="bottom"/>
            <w:hideMark/>
          </w:tcPr>
          <w:p w14:paraId="10299651" w14:textId="77777777" w:rsidR="006C5544" w:rsidRPr="00106AD9" w:rsidRDefault="006C5544" w:rsidP="00B15201">
            <w:pPr>
              <w:ind w:left="60" w:right="60"/>
              <w:textAlignment w:val="baseline"/>
            </w:pPr>
            <w:r w:rsidRPr="00106AD9">
              <w:t>Rozsah: 85V AC do 264V AC, nominálne 100V do 240V AC</w:t>
            </w:r>
          </w:p>
          <w:p w14:paraId="26785CD9" w14:textId="77777777" w:rsidR="006C5544" w:rsidRPr="00106AD9" w:rsidRDefault="006C5544" w:rsidP="00B15201">
            <w:pPr>
              <w:ind w:left="60" w:right="60"/>
              <w:textAlignment w:val="baseline"/>
            </w:pPr>
            <w:r w:rsidRPr="00106AD9">
              <w:t>Frekvenčný rozsah: 47 do 63 Hz, nominálne 50 to 60 Hz</w:t>
            </w:r>
          </w:p>
        </w:tc>
      </w:tr>
    </w:tbl>
    <w:p w14:paraId="657E99A7" w14:textId="77777777" w:rsidR="006C5544" w:rsidRPr="00106AD9" w:rsidRDefault="006C5544" w:rsidP="006C5544">
      <w:pPr>
        <w:shd w:val="clear" w:color="auto" w:fill="FFFFFF"/>
        <w:textAlignment w:val="top"/>
        <w:rPr>
          <w:b/>
          <w:bCs/>
        </w:rPr>
      </w:pPr>
    </w:p>
    <w:p w14:paraId="44D991AE" w14:textId="77777777" w:rsidR="006C5544" w:rsidRPr="00106AD9" w:rsidRDefault="006C5544" w:rsidP="006C5544">
      <w:pPr>
        <w:shd w:val="clear" w:color="auto" w:fill="FFFFFF"/>
        <w:textAlignment w:val="top"/>
        <w:rPr>
          <w:b/>
          <w:bCs/>
        </w:rPr>
      </w:pPr>
      <w:r w:rsidRPr="00106AD9">
        <w:rPr>
          <w:b/>
          <w:bCs/>
        </w:rPr>
        <w:t>Špecifikácia</w:t>
      </w:r>
      <w:r w:rsidRPr="00106AD9">
        <w:rPr>
          <w:b/>
          <w:bCs/>
          <w:shd w:val="clear" w:color="auto" w:fill="FFFFFF"/>
        </w:rPr>
        <w:t xml:space="preserve"> prostredia</w:t>
      </w:r>
    </w:p>
    <w:tbl>
      <w:tblPr>
        <w:tblW w:w="4994" w:type="pct"/>
        <w:shd w:val="clear" w:color="auto" w:fill="FFFFFF"/>
        <w:tblCellMar>
          <w:left w:w="0" w:type="dxa"/>
          <w:right w:w="0" w:type="dxa"/>
        </w:tblCellMar>
        <w:tblLook w:val="04A0" w:firstRow="1" w:lastRow="0" w:firstColumn="1" w:lastColumn="0" w:noHBand="0" w:noVBand="1"/>
      </w:tblPr>
      <w:tblGrid>
        <w:gridCol w:w="2962"/>
        <w:gridCol w:w="6521"/>
      </w:tblGrid>
      <w:tr w:rsidR="006C5544" w:rsidRPr="00106AD9" w14:paraId="5C75E361" w14:textId="77777777" w:rsidTr="00B15201">
        <w:trPr>
          <w:trHeight w:val="24"/>
        </w:trPr>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9B69D45" w14:textId="77777777" w:rsidR="006C5544" w:rsidRPr="00106AD9" w:rsidRDefault="006C5544" w:rsidP="00B15201">
            <w:pPr>
              <w:ind w:left="60" w:right="60"/>
              <w:textAlignment w:val="baseline"/>
              <w:rPr>
                <w:b/>
                <w:bCs/>
              </w:rPr>
            </w:pPr>
            <w:r w:rsidRPr="00106AD9">
              <w:rPr>
                <w:b/>
                <w:bCs/>
              </w:rPr>
              <w:t>Popis</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DBC50D6" w14:textId="77777777" w:rsidR="006C5544" w:rsidRPr="00106AD9" w:rsidRDefault="006C5544" w:rsidP="00B15201">
            <w:pPr>
              <w:ind w:left="60" w:right="60"/>
              <w:textAlignment w:val="baseline"/>
              <w:rPr>
                <w:b/>
                <w:bCs/>
              </w:rPr>
            </w:pPr>
          </w:p>
        </w:tc>
      </w:tr>
      <w:tr w:rsidR="006C5544" w:rsidRPr="00106AD9" w14:paraId="7F8D5C03"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1A0DE93" w14:textId="77777777" w:rsidR="006C5544" w:rsidRPr="00106AD9" w:rsidRDefault="006C5544" w:rsidP="00B15201">
            <w:pPr>
              <w:ind w:left="60" w:right="60"/>
              <w:textAlignment w:val="baseline"/>
            </w:pPr>
            <w:r w:rsidRPr="00106AD9">
              <w:t>Ventilátory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03877B2F" w14:textId="77777777" w:rsidR="006C5544" w:rsidRPr="00106AD9" w:rsidRDefault="006C5544" w:rsidP="00B15201">
            <w:pPr>
              <w:ind w:left="60" w:right="60"/>
              <w:textAlignment w:val="baseline"/>
            </w:pPr>
            <w:r>
              <w:t xml:space="preserve">Min. </w:t>
            </w:r>
            <w:r w:rsidRPr="00106AD9">
              <w:t>5 zabudovaných ventilátorov</w:t>
            </w:r>
          </w:p>
        </w:tc>
      </w:tr>
      <w:tr w:rsidR="006C5544" w:rsidRPr="00106AD9" w14:paraId="53612E53"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D0FEA28" w14:textId="77777777" w:rsidR="006C5544" w:rsidRPr="00106AD9" w:rsidRDefault="006C5544" w:rsidP="00B15201">
            <w:pPr>
              <w:ind w:left="60" w:right="60"/>
              <w:textAlignment w:val="baseline"/>
            </w:pPr>
            <w:r w:rsidRPr="00106AD9">
              <w:t>Teplotné rozsahy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696DF2B" w14:textId="77777777" w:rsidR="006C5544" w:rsidRPr="00106AD9" w:rsidRDefault="006C5544" w:rsidP="00B15201">
            <w:pPr>
              <w:ind w:left="60" w:right="60"/>
              <w:textAlignment w:val="baseline"/>
            </w:pPr>
            <w:r w:rsidRPr="00106AD9">
              <w:t>-40 to 70ºC, až do 300m</w:t>
            </w:r>
          </w:p>
          <w:p w14:paraId="34FC37FC" w14:textId="77777777" w:rsidR="006C5544" w:rsidRPr="00106AD9" w:rsidRDefault="006C5544" w:rsidP="00B15201">
            <w:pPr>
              <w:ind w:left="60" w:right="60"/>
              <w:textAlignment w:val="baseline"/>
            </w:pPr>
            <w:r w:rsidRPr="00106AD9">
              <w:t>-40 to 65ºC, až do 1800m</w:t>
            </w:r>
          </w:p>
          <w:p w14:paraId="4AFC7D56" w14:textId="77777777" w:rsidR="006C5544" w:rsidRPr="00106AD9" w:rsidRDefault="006C5544" w:rsidP="00B15201">
            <w:pPr>
              <w:ind w:left="60" w:right="60"/>
              <w:textAlignment w:val="baseline"/>
            </w:pPr>
            <w:r w:rsidRPr="00106AD9">
              <w:t>-40 to 55ºC, až do 4000m</w:t>
            </w:r>
          </w:p>
        </w:tc>
      </w:tr>
      <w:tr w:rsidR="006C5544" w:rsidRPr="00106AD9" w14:paraId="26ECD851"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23AF713" w14:textId="77777777" w:rsidR="006C5544" w:rsidRPr="00106AD9" w:rsidRDefault="006C5544" w:rsidP="00B15201">
            <w:pPr>
              <w:ind w:left="60" w:right="60"/>
              <w:textAlignment w:val="baseline"/>
            </w:pPr>
            <w:r w:rsidRPr="00106AD9">
              <w:t>Relatívna vlhkosť</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B257456" w14:textId="77777777" w:rsidR="006C5544" w:rsidRPr="00106AD9" w:rsidRDefault="006C5544" w:rsidP="00B15201">
            <w:pPr>
              <w:ind w:left="60" w:right="60"/>
              <w:textAlignment w:val="baseline"/>
            </w:pPr>
            <w:r w:rsidRPr="00106AD9">
              <w:t>5 do 95 percent, bez kondenzácie</w:t>
            </w:r>
          </w:p>
        </w:tc>
      </w:tr>
      <w:tr w:rsidR="006C5544" w:rsidRPr="00106AD9" w14:paraId="2714614A" w14:textId="77777777" w:rsidTr="00B15201">
        <w:tc>
          <w:tcPr>
            <w:tcW w:w="1562" w:type="pct"/>
            <w:vMerge w:val="restar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733636E" w14:textId="77777777" w:rsidR="006C5544" w:rsidRPr="00106AD9" w:rsidRDefault="006C5544" w:rsidP="00B15201">
            <w:pPr>
              <w:ind w:left="60" w:right="60"/>
              <w:textAlignment w:val="baseline"/>
            </w:pPr>
            <w:r w:rsidRPr="00106AD9">
              <w:lastRenderedPageBreak/>
              <w:t>Hluk</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97A6228" w14:textId="77777777" w:rsidR="006C5544" w:rsidRPr="00106AD9" w:rsidRDefault="006C5544" w:rsidP="00B15201">
            <w:pPr>
              <w:ind w:left="60" w:right="60"/>
              <w:textAlignment w:val="baseline"/>
            </w:pPr>
            <w:r w:rsidRPr="00106AD9">
              <w:t xml:space="preserve">57 </w:t>
            </w:r>
            <w:proofErr w:type="spellStart"/>
            <w:r w:rsidRPr="00106AD9">
              <w:t>dBA</w:t>
            </w:r>
            <w:proofErr w:type="spellEnd"/>
            <w:r w:rsidRPr="00106AD9">
              <w:t xml:space="preserve"> pri 30ºC</w:t>
            </w:r>
          </w:p>
        </w:tc>
      </w:tr>
      <w:tr w:rsidR="006C5544" w:rsidRPr="00106AD9" w14:paraId="5B434139" w14:textId="77777777" w:rsidTr="00B15201">
        <w:tc>
          <w:tcPr>
            <w:tcW w:w="1562" w:type="pct"/>
            <w:vMerge/>
            <w:tcBorders>
              <w:top w:val="single" w:sz="12" w:space="0" w:color="CCCCCC"/>
              <w:left w:val="single" w:sz="12" w:space="0" w:color="CCCCCC"/>
              <w:bottom w:val="single" w:sz="12" w:space="0" w:color="CCCCCC"/>
              <w:right w:val="single" w:sz="12" w:space="0" w:color="CCCCCC"/>
            </w:tcBorders>
            <w:shd w:val="clear" w:color="auto" w:fill="FFFFFF"/>
            <w:vAlign w:val="bottom"/>
            <w:hideMark/>
          </w:tcPr>
          <w:p w14:paraId="53E515AB" w14:textId="77777777" w:rsidR="006C5544" w:rsidRPr="00106AD9" w:rsidRDefault="006C5544" w:rsidP="00B15201"/>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67D2D65" w14:textId="77777777" w:rsidR="006C5544" w:rsidRPr="00106AD9" w:rsidRDefault="006C5544" w:rsidP="00B15201">
            <w:pPr>
              <w:ind w:left="60" w:right="60"/>
              <w:textAlignment w:val="baseline"/>
            </w:pPr>
            <w:r w:rsidRPr="00106AD9">
              <w:t xml:space="preserve">79 </w:t>
            </w:r>
            <w:proofErr w:type="spellStart"/>
            <w:r w:rsidRPr="00106AD9">
              <w:t>dBA</w:t>
            </w:r>
            <w:proofErr w:type="spellEnd"/>
            <w:r w:rsidRPr="00106AD9">
              <w:t xml:space="preserve"> pri najvyššom výkone systému</w:t>
            </w:r>
          </w:p>
        </w:tc>
      </w:tr>
      <w:tr w:rsidR="006C5544" w:rsidRPr="00106AD9" w14:paraId="1A9F404F"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3E2A1720" w14:textId="77777777" w:rsidR="006C5544" w:rsidRPr="00106AD9" w:rsidRDefault="006C5544" w:rsidP="00B15201">
            <w:pPr>
              <w:ind w:left="60" w:right="60"/>
              <w:textAlignment w:val="baseline"/>
            </w:pPr>
            <w:r w:rsidRPr="00106AD9">
              <w:t>Vonkajšie umiestnenie</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FC60448" w14:textId="77777777" w:rsidR="006C5544" w:rsidRPr="00106AD9" w:rsidRDefault="006C5544" w:rsidP="00B15201">
            <w:pPr>
              <w:ind w:left="60" w:right="60"/>
              <w:jc w:val="both"/>
              <w:textAlignment w:val="baseline"/>
            </w:pPr>
            <w:r w:rsidRPr="00106AD9">
              <w:t>Pri inštalácii vo vonkajšom prostredí sa vyžaduje, aby bol systém chránený pred znečisťujúcimi látkami vo vzduchu, prachom, vlhkosťou, hmyzom, škodcami, znečisteným vzduchom alebo inými reaktívnymi prvkami prítomnými vo vonkajšom vzduchu. Na dosiahnutie tejto úrovne ochrany sa odporúča, aby bol switch nainštalovaný v utesnenom priestore.</w:t>
            </w:r>
          </w:p>
        </w:tc>
      </w:tr>
      <w:tr w:rsidR="006C5544" w:rsidRPr="00106AD9" w14:paraId="378F6B9B"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A72DDCE" w14:textId="77777777" w:rsidR="006C5544" w:rsidRPr="00106AD9" w:rsidRDefault="006C5544" w:rsidP="00B15201">
            <w:pPr>
              <w:ind w:left="60" w:right="60"/>
              <w:textAlignment w:val="baseline"/>
            </w:pPr>
            <w:r w:rsidRPr="00106AD9">
              <w:t>Umiestnenie v prostredí</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53B41023" w14:textId="77777777" w:rsidR="006C5544" w:rsidRPr="00106AD9" w:rsidRDefault="006C5544" w:rsidP="00B15201">
            <w:pPr>
              <w:ind w:left="60" w:right="60"/>
              <w:textAlignment w:val="baseline"/>
            </w:pPr>
            <w:r w:rsidRPr="00106AD9">
              <w:t xml:space="preserve">Teplota: -40 do 70ºC </w:t>
            </w:r>
          </w:p>
          <w:p w14:paraId="3DDBE28F" w14:textId="77777777" w:rsidR="006C5544" w:rsidRPr="00106AD9" w:rsidRDefault="006C5544" w:rsidP="00B15201">
            <w:pPr>
              <w:ind w:left="60" w:right="60"/>
              <w:textAlignment w:val="baseline"/>
            </w:pPr>
            <w:r w:rsidRPr="00106AD9">
              <w:t>Nadmorská výška: max 4570m</w:t>
            </w:r>
          </w:p>
        </w:tc>
      </w:tr>
      <w:tr w:rsidR="006C5544" w:rsidRPr="00106AD9" w14:paraId="31EAFF1C"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41FE31E" w14:textId="77777777" w:rsidR="006C5544" w:rsidRPr="00106AD9" w:rsidRDefault="006C5544" w:rsidP="00B15201">
            <w:pPr>
              <w:ind w:left="60" w:right="60"/>
              <w:textAlignment w:val="baseline"/>
            </w:pPr>
            <w:r w:rsidRPr="00106AD9">
              <w:t>Seizmická aktivita</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2658A627" w14:textId="77777777" w:rsidR="006C5544" w:rsidRPr="00106AD9" w:rsidRDefault="006C5544" w:rsidP="00B15201">
            <w:pPr>
              <w:ind w:left="60" w:right="60"/>
              <w:textAlignment w:val="baseline"/>
            </w:pPr>
            <w:r w:rsidRPr="00106AD9">
              <w:t>Zóna 4</w:t>
            </w:r>
          </w:p>
        </w:tc>
      </w:tr>
      <w:tr w:rsidR="006C5544" w:rsidRPr="00106AD9" w14:paraId="59D80934" w14:textId="77777777" w:rsidTr="00B15201">
        <w:tc>
          <w:tcPr>
            <w:tcW w:w="1562"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1F499FF4" w14:textId="77777777" w:rsidR="006C5544" w:rsidRPr="00106AD9" w:rsidRDefault="006C5544" w:rsidP="00B15201">
            <w:pPr>
              <w:ind w:left="60" w:right="60"/>
              <w:textAlignment w:val="baseline"/>
            </w:pPr>
            <w:r w:rsidRPr="00106AD9">
              <w:t>Nebezpečné látky</w:t>
            </w:r>
          </w:p>
        </w:tc>
        <w:tc>
          <w:tcPr>
            <w:tcW w:w="3438" w:type="pct"/>
            <w:tcBorders>
              <w:top w:val="single" w:sz="12" w:space="0" w:color="CCCCCC"/>
              <w:left w:val="single" w:sz="12" w:space="0" w:color="CCCCCC"/>
              <w:bottom w:val="single" w:sz="12" w:space="0" w:color="CCCCCC"/>
              <w:right w:val="single" w:sz="12" w:space="0" w:color="CCCCCC"/>
            </w:tcBorders>
            <w:shd w:val="clear" w:color="auto" w:fill="FFFFFF"/>
            <w:tcMar>
              <w:top w:w="75" w:type="dxa"/>
              <w:left w:w="75" w:type="dxa"/>
              <w:bottom w:w="75" w:type="dxa"/>
              <w:right w:w="75" w:type="dxa"/>
            </w:tcMar>
            <w:vAlign w:val="bottom"/>
            <w:hideMark/>
          </w:tcPr>
          <w:p w14:paraId="668A11C1" w14:textId="77777777" w:rsidR="006C5544" w:rsidRPr="00106AD9" w:rsidRDefault="006C5544" w:rsidP="00B15201">
            <w:pPr>
              <w:ind w:left="60" w:right="60"/>
              <w:textAlignment w:val="baseline"/>
            </w:pPr>
            <w:proofErr w:type="spellStart"/>
            <w:r w:rsidRPr="00106AD9">
              <w:t>RoHS</w:t>
            </w:r>
            <w:proofErr w:type="spellEnd"/>
            <w:r w:rsidRPr="00106AD9">
              <w:t xml:space="preserve"> (</w:t>
            </w:r>
            <w:proofErr w:type="spellStart"/>
            <w:r w:rsidRPr="00106AD9">
              <w:t>Reduction</w:t>
            </w:r>
            <w:proofErr w:type="spellEnd"/>
            <w:r w:rsidRPr="00106AD9">
              <w:t xml:space="preserve"> of </w:t>
            </w:r>
            <w:proofErr w:type="spellStart"/>
            <w:r w:rsidRPr="00106AD9">
              <w:t>Hazardous</w:t>
            </w:r>
            <w:proofErr w:type="spellEnd"/>
            <w:r w:rsidRPr="00106AD9">
              <w:t xml:space="preserve"> </w:t>
            </w:r>
            <w:proofErr w:type="spellStart"/>
            <w:r w:rsidRPr="00106AD9">
              <w:t>Substances</w:t>
            </w:r>
            <w:proofErr w:type="spellEnd"/>
            <w:r w:rsidRPr="00106AD9">
              <w:t>) 6</w:t>
            </w:r>
          </w:p>
        </w:tc>
      </w:tr>
    </w:tbl>
    <w:p w14:paraId="4FE605E7" w14:textId="77777777" w:rsidR="006C5544" w:rsidRPr="00AC364C" w:rsidRDefault="006C5544" w:rsidP="006C5544">
      <w:pPr>
        <w:jc w:val="both"/>
      </w:pPr>
    </w:p>
    <w:p w14:paraId="467D4BFB" w14:textId="77777777" w:rsidR="006C5544" w:rsidRDefault="006C5544" w:rsidP="006C5544">
      <w:pPr>
        <w:jc w:val="both"/>
        <w:rPr>
          <w:b/>
          <w:bCs/>
        </w:rPr>
      </w:pPr>
      <w:r w:rsidRPr="00AC364C">
        <w:rPr>
          <w:b/>
          <w:bCs/>
        </w:rPr>
        <w:t>Osobitné požiadavky na plnenie:</w:t>
      </w:r>
    </w:p>
    <w:p w14:paraId="4FD8A696" w14:textId="77777777" w:rsidR="006C5544" w:rsidRDefault="006C5544" w:rsidP="006C5544">
      <w:pPr>
        <w:jc w:val="both"/>
        <w:rPr>
          <w:b/>
          <w:bCs/>
        </w:rPr>
      </w:pPr>
    </w:p>
    <w:p w14:paraId="457BB07E" w14:textId="77777777" w:rsidR="006C5544" w:rsidRPr="00D34D44" w:rsidRDefault="006C5544" w:rsidP="006C5544">
      <w:pPr>
        <w:numPr>
          <w:ilvl w:val="0"/>
          <w:numId w:val="33"/>
        </w:numPr>
        <w:autoSpaceDE w:val="0"/>
        <w:autoSpaceDN w:val="0"/>
        <w:adjustRightInd w:val="0"/>
        <w:ind w:left="284" w:hanging="284"/>
        <w:jc w:val="both"/>
      </w:pPr>
      <w:r w:rsidRPr="00293232">
        <w:t>Verejný</w:t>
      </w:r>
      <w:r>
        <w:t xml:space="preserve"> obstarávateľ požaduje, aby súčasťou predmetu zákazky bola aktivovaná L2 licencia (napr. Metro Access </w:t>
      </w:r>
      <w:proofErr w:type="spellStart"/>
      <w:r>
        <w:t>Licence</w:t>
      </w:r>
      <w:proofErr w:type="spellEnd"/>
      <w:r>
        <w:t>).</w:t>
      </w:r>
    </w:p>
    <w:p w14:paraId="352EB01C" w14:textId="77777777" w:rsidR="006C5544" w:rsidRPr="00D34D44" w:rsidRDefault="006C5544" w:rsidP="006C5544">
      <w:pPr>
        <w:numPr>
          <w:ilvl w:val="0"/>
          <w:numId w:val="33"/>
        </w:numPr>
        <w:autoSpaceDE w:val="0"/>
        <w:autoSpaceDN w:val="0"/>
        <w:adjustRightInd w:val="0"/>
        <w:ind w:left="284" w:hanging="284"/>
        <w:jc w:val="both"/>
      </w:pPr>
      <w:r>
        <w:t>Verejný obstarávateľ požaduje aby na dodávanom zariadení bolo aktívnych minimálne 12x 1G (4x RJ45 a 12x SFP) a 2x 10g portov.</w:t>
      </w:r>
    </w:p>
    <w:p w14:paraId="5B26EFF2" w14:textId="77777777" w:rsidR="006C5544" w:rsidRPr="00CE5D23" w:rsidRDefault="006C5544" w:rsidP="006C5544">
      <w:pPr>
        <w:numPr>
          <w:ilvl w:val="0"/>
          <w:numId w:val="33"/>
        </w:numPr>
        <w:autoSpaceDE w:val="0"/>
        <w:autoSpaceDN w:val="0"/>
        <w:adjustRightInd w:val="0"/>
        <w:ind w:left="284" w:hanging="284"/>
        <w:jc w:val="both"/>
      </w:pPr>
      <w:r w:rsidRPr="00CE5D23">
        <w:t>Verejný</w:t>
      </w:r>
      <w:r>
        <w:t xml:space="preserve"> </w:t>
      </w:r>
      <w:r w:rsidRPr="00CE5D23">
        <w:t>obstarávateľ požaduje, aby požadovaný počet SFP</w:t>
      </w:r>
      <w:r>
        <w:t xml:space="preserve"> </w:t>
      </w:r>
      <w:r w:rsidRPr="00CE5D23">
        <w:t>(</w:t>
      </w:r>
      <w:r>
        <w:t>12</w:t>
      </w:r>
      <w:r w:rsidRPr="00CE5D23">
        <w:t xml:space="preserve"> ks)</w:t>
      </w:r>
      <w:r>
        <w:t xml:space="preserve"> pre využitie v externých podmienkach (teplotný rozsah </w:t>
      </w:r>
      <w:r w:rsidRPr="0082407C">
        <w:t xml:space="preserve">-40 </w:t>
      </w:r>
      <w:r>
        <w:t>do</w:t>
      </w:r>
      <w:r w:rsidRPr="0082407C">
        <w:t xml:space="preserve"> </w:t>
      </w:r>
      <w:r>
        <w:t>85</w:t>
      </w:r>
      <w:r w:rsidRPr="0082407C">
        <w:t>ºC</w:t>
      </w:r>
      <w:r>
        <w:t>)</w:t>
      </w:r>
      <w:r w:rsidRPr="00CE5D23">
        <w:t xml:space="preserve"> pozostával z nasledovných typov:</w:t>
      </w:r>
    </w:p>
    <w:p w14:paraId="7FD00594" w14:textId="77777777" w:rsidR="006C5544" w:rsidRPr="00CE5D23" w:rsidRDefault="006C5544" w:rsidP="006C5544">
      <w:pPr>
        <w:autoSpaceDE w:val="0"/>
        <w:autoSpaceDN w:val="0"/>
        <w:adjustRightInd w:val="0"/>
        <w:ind w:firstLine="284"/>
        <w:jc w:val="both"/>
      </w:pPr>
      <w:r>
        <w:t xml:space="preserve">       a)</w:t>
      </w:r>
      <w:r w:rsidRPr="00CE5D23">
        <w:t xml:space="preserve"> </w:t>
      </w:r>
      <w:r>
        <w:t>10</w:t>
      </w:r>
      <w:r w:rsidRPr="00CE5D23">
        <w:t xml:space="preserve"> ks 1 </w:t>
      </w:r>
      <w:proofErr w:type="spellStart"/>
      <w:r w:rsidRPr="00CE5D23">
        <w:t>gig</w:t>
      </w:r>
      <w:proofErr w:type="spellEnd"/>
      <w:r w:rsidRPr="00CE5D23">
        <w:t xml:space="preserve"> SFP </w:t>
      </w:r>
      <w:r>
        <w:t>SM 10 km</w:t>
      </w:r>
      <w:r w:rsidRPr="00CE5D23">
        <w:t xml:space="preserve"> LC</w:t>
      </w:r>
    </w:p>
    <w:p w14:paraId="6A7309D5" w14:textId="77777777" w:rsidR="006C5544" w:rsidRDefault="006C5544" w:rsidP="006C5544">
      <w:pPr>
        <w:autoSpaceDE w:val="0"/>
        <w:autoSpaceDN w:val="0"/>
        <w:adjustRightInd w:val="0"/>
        <w:ind w:left="284"/>
        <w:jc w:val="both"/>
      </w:pPr>
      <w:r>
        <w:t xml:space="preserve">       b)  </w:t>
      </w:r>
      <w:r w:rsidRPr="00CE5D23">
        <w:t xml:space="preserve"> </w:t>
      </w:r>
      <w:r>
        <w:t>2</w:t>
      </w:r>
      <w:r w:rsidRPr="00CE5D23">
        <w:t xml:space="preserve"> ks 10 </w:t>
      </w:r>
      <w:proofErr w:type="spellStart"/>
      <w:r w:rsidRPr="00CE5D23">
        <w:t>gig</w:t>
      </w:r>
      <w:proofErr w:type="spellEnd"/>
      <w:r w:rsidRPr="00CE5D23">
        <w:t xml:space="preserve"> SFP+ SM </w:t>
      </w:r>
      <w:r>
        <w:t>2</w:t>
      </w:r>
      <w:r w:rsidRPr="00CE5D23">
        <w:t>0 km LC</w:t>
      </w:r>
    </w:p>
    <w:p w14:paraId="5A4D0F03" w14:textId="77777777" w:rsidR="006C5544" w:rsidRDefault="006C5544" w:rsidP="006C5544">
      <w:pPr>
        <w:jc w:val="both"/>
      </w:pPr>
      <w:r>
        <w:t xml:space="preserve">     </w:t>
      </w:r>
      <w:r w:rsidRPr="00F27245">
        <w:t>D</w:t>
      </w:r>
      <w:r>
        <w:t>odávané SFP musia byť plne kompatibilné s dodávaným optickým switchom.</w:t>
      </w:r>
    </w:p>
    <w:p w14:paraId="5945CFBD" w14:textId="77777777" w:rsidR="006C5544" w:rsidRDefault="006C5544" w:rsidP="006C5544">
      <w:pPr>
        <w:numPr>
          <w:ilvl w:val="0"/>
          <w:numId w:val="34"/>
        </w:numPr>
        <w:ind w:left="284" w:hanging="284"/>
        <w:jc w:val="both"/>
      </w:pPr>
      <w:r>
        <w:t xml:space="preserve">Súčasťou zákazky bude dodanie 10x optický patch kábel SC/APC-LC </w:t>
      </w:r>
      <w:proofErr w:type="spellStart"/>
      <w:r>
        <w:t>duplex</w:t>
      </w:r>
      <w:proofErr w:type="spellEnd"/>
      <w:r>
        <w:t xml:space="preserve"> SM 3m a 5x optický patch kábel SC/APC-SC/APC </w:t>
      </w:r>
      <w:proofErr w:type="spellStart"/>
      <w:r>
        <w:t>duplex</w:t>
      </w:r>
      <w:proofErr w:type="spellEnd"/>
      <w:r>
        <w:t xml:space="preserve"> SM 3m</w:t>
      </w:r>
    </w:p>
    <w:p w14:paraId="663F63D8" w14:textId="77777777" w:rsidR="006C5544" w:rsidRDefault="006C5544" w:rsidP="006C5544">
      <w:pPr>
        <w:numPr>
          <w:ilvl w:val="0"/>
          <w:numId w:val="34"/>
        </w:numPr>
        <w:ind w:left="284" w:hanging="284"/>
        <w:jc w:val="both"/>
      </w:pPr>
      <w:r>
        <w:t>Podpora a záruka – 1 rok 8x5xNBD</w:t>
      </w:r>
    </w:p>
    <w:p w14:paraId="28E63BAC" w14:textId="77777777" w:rsidR="006C5544" w:rsidRPr="00FA4A34" w:rsidRDefault="006C5544" w:rsidP="006C5544">
      <w:pPr>
        <w:jc w:val="both"/>
        <w:rPr>
          <w:b/>
          <w:bCs/>
          <w:highlight w:val="red"/>
        </w:rPr>
      </w:pPr>
    </w:p>
    <w:p w14:paraId="238C0609" w14:textId="77777777" w:rsidR="006C5544" w:rsidRPr="00443B28" w:rsidRDefault="006C5544" w:rsidP="006C5544">
      <w:pPr>
        <w:numPr>
          <w:ilvl w:val="0"/>
          <w:numId w:val="31"/>
        </w:numPr>
        <w:autoSpaceDE w:val="0"/>
        <w:autoSpaceDN w:val="0"/>
        <w:adjustRightInd w:val="0"/>
        <w:ind w:left="284" w:hanging="284"/>
        <w:jc w:val="both"/>
      </w:pPr>
      <w:r w:rsidRPr="00443B28">
        <w:t>Uchádzač je povinný predmet zákazky dodať verejnému obstarávateľovi celý naraz v sídle verejného obstarávateľa. Uchádzač je povinný predmet zákazky dodať verejnému obstarávateľovi len v pracovných dňoch v čase od 8:00 hod. do 15:00 hod. Uchádzač je povinný oznámiť verejnému obstarávateľovi termín dodania (konkrétny deň a hodinu) minimálne dva pracovné dni vopred.</w:t>
      </w:r>
    </w:p>
    <w:p w14:paraId="4DD044DC" w14:textId="77777777" w:rsidR="006C5544" w:rsidRDefault="006C5544" w:rsidP="006C5544">
      <w:pPr>
        <w:numPr>
          <w:ilvl w:val="0"/>
          <w:numId w:val="31"/>
        </w:numPr>
        <w:autoSpaceDE w:val="0"/>
        <w:autoSpaceDN w:val="0"/>
        <w:adjustRightInd w:val="0"/>
        <w:ind w:left="284" w:hanging="284"/>
        <w:jc w:val="both"/>
      </w:pPr>
      <w:r w:rsidRPr="00443B28">
        <w:t xml:space="preserve">Verejný obstarávateľ má k dispozícií </w:t>
      </w:r>
      <w:proofErr w:type="spellStart"/>
      <w:r w:rsidRPr="00443B28">
        <w:t>stack</w:t>
      </w:r>
      <w:proofErr w:type="spellEnd"/>
      <w:r>
        <w:t xml:space="preserve"> </w:t>
      </w:r>
      <w:r w:rsidRPr="00443B28">
        <w:t xml:space="preserve">do ktorého </w:t>
      </w:r>
      <w:r>
        <w:t xml:space="preserve">budú </w:t>
      </w:r>
      <w:proofErr w:type="spellStart"/>
      <w:r w:rsidRPr="00443B28">
        <w:t>switche</w:t>
      </w:r>
      <w:proofErr w:type="spellEnd"/>
      <w:r>
        <w:t xml:space="preserve"> pripojené</w:t>
      </w:r>
      <w:r w:rsidRPr="00443B28">
        <w:t xml:space="preserve">. Momentálne využívané </w:t>
      </w:r>
      <w:proofErr w:type="spellStart"/>
      <w:r w:rsidRPr="00443B28">
        <w:t>switche</w:t>
      </w:r>
      <w:proofErr w:type="spellEnd"/>
      <w:r w:rsidRPr="00443B28">
        <w:t xml:space="preserve"> -</w:t>
      </w:r>
      <w:r>
        <w:t xml:space="preserve"> </w:t>
      </w:r>
      <w:r w:rsidRPr="001B72FC">
        <w:rPr>
          <w:b/>
          <w:bCs/>
        </w:rPr>
        <w:t>Cisco</w:t>
      </w:r>
      <w:r w:rsidRPr="00443B28">
        <w:t xml:space="preserve"> </w:t>
      </w:r>
      <w:r w:rsidRPr="0082407C">
        <w:rPr>
          <w:b/>
          <w:bCs/>
        </w:rPr>
        <w:t>N520-X-20G4Z-A [Industrial]</w:t>
      </w:r>
      <w:r w:rsidRPr="00443B28">
        <w:t>.</w:t>
      </w:r>
      <w:r>
        <w:t xml:space="preserve"> </w:t>
      </w:r>
      <w:r w:rsidRPr="00443B28">
        <w:t>Verejný obstarávateľ</w:t>
      </w:r>
      <w:r>
        <w:t xml:space="preserve"> požaduje aby ponúkané zariadenia vedeli rozšíriť existujúci </w:t>
      </w:r>
      <w:proofErr w:type="spellStart"/>
      <w:r>
        <w:t>stack</w:t>
      </w:r>
      <w:proofErr w:type="spellEnd"/>
      <w:r>
        <w:t xml:space="preserve"> Cisco </w:t>
      </w:r>
      <w:r w:rsidRPr="00BF3A6C">
        <w:t>N520-X-20G4Z-A [Industrial]</w:t>
      </w:r>
      <w:r>
        <w:t xml:space="preserve"> a boli plne kompatibilné.</w:t>
      </w:r>
    </w:p>
    <w:p w14:paraId="49EE9199" w14:textId="77777777" w:rsidR="006C5544" w:rsidRDefault="006C5544" w:rsidP="006C5544">
      <w:pPr>
        <w:numPr>
          <w:ilvl w:val="0"/>
          <w:numId w:val="31"/>
        </w:numPr>
        <w:autoSpaceDE w:val="0"/>
        <w:autoSpaceDN w:val="0"/>
        <w:adjustRightInd w:val="0"/>
        <w:ind w:left="284" w:hanging="284"/>
        <w:jc w:val="both"/>
      </w:pPr>
      <w:r w:rsidRPr="00FA4A34">
        <w:t>Uchádzač je povinný dodať predmet zákazky, ktorý je certifikovaný a schválený na dovoz a predaj v Slovenskej republike, resp. v rámci Európskej únie a bude vyhovovať platným medzinárodným normám, STN a všeobecne záväzným právnym predpisom a pochádza z oficiálnej distribúcie pre Slovenskú republiku. Dodávateľ je povinný na požiadanie doložiť objednávateľovi pôvod tovaru.</w:t>
      </w:r>
    </w:p>
    <w:p w14:paraId="60548714" w14:textId="77777777" w:rsidR="006C5544" w:rsidRDefault="006C5544" w:rsidP="006C5544">
      <w:pPr>
        <w:numPr>
          <w:ilvl w:val="0"/>
          <w:numId w:val="31"/>
        </w:numPr>
        <w:autoSpaceDE w:val="0"/>
        <w:autoSpaceDN w:val="0"/>
        <w:adjustRightInd w:val="0"/>
        <w:ind w:left="284" w:hanging="284"/>
        <w:jc w:val="both"/>
      </w:pPr>
      <w:r w:rsidRPr="00FA4A34">
        <w:t>Dodávateľ je povinný do 3 (troch) dní od uzavretia zmluvy podrobne definovať objednávateľovi (e-mailom) predmet zákazky z dôvodu odkontrolovania požadovaných parametrov zariadení.</w:t>
      </w:r>
    </w:p>
    <w:p w14:paraId="25CEE4B5" w14:textId="77777777" w:rsidR="006C5544" w:rsidRPr="00FA4A34" w:rsidRDefault="006C5544" w:rsidP="006C5544">
      <w:pPr>
        <w:numPr>
          <w:ilvl w:val="0"/>
          <w:numId w:val="31"/>
        </w:numPr>
        <w:autoSpaceDE w:val="0"/>
        <w:autoSpaceDN w:val="0"/>
        <w:adjustRightInd w:val="0"/>
        <w:ind w:left="284" w:hanging="284"/>
        <w:jc w:val="both"/>
      </w:pPr>
      <w:r w:rsidRPr="00FA4A34">
        <w:t>Dodávateľ je povinný byť oficiálnym schváleným partnerom výrobcu a na požiadanie preukázať objednávateľovi svoj partnerský status partnerským certifikátom výrobcu dodávaného zariadenia alebo potvrdením partnerstva od výrobcu zariadenia.</w:t>
      </w:r>
    </w:p>
    <w:p w14:paraId="0D28B073" w14:textId="77777777" w:rsidR="006C5544" w:rsidRPr="00FA4A34" w:rsidRDefault="006C5544" w:rsidP="006C5544">
      <w:pPr>
        <w:numPr>
          <w:ilvl w:val="0"/>
          <w:numId w:val="31"/>
        </w:numPr>
        <w:autoSpaceDE w:val="0"/>
        <w:autoSpaceDN w:val="0"/>
        <w:adjustRightInd w:val="0"/>
        <w:ind w:left="284" w:hanging="284"/>
        <w:jc w:val="both"/>
      </w:pPr>
      <w:r w:rsidRPr="00FA4A34">
        <w:lastRenderedPageBreak/>
        <w:t xml:space="preserve">Dodávateľ je povinný preukázať objednávateľovi potvrdením od výrobcu zariadenia, že je oprávnený poskytovať </w:t>
      </w:r>
      <w:proofErr w:type="spellStart"/>
      <w:r w:rsidRPr="00FA4A34">
        <w:t>support</w:t>
      </w:r>
      <w:proofErr w:type="spellEnd"/>
      <w:r w:rsidRPr="00FA4A34">
        <w:t xml:space="preserve"> k dodávaným zariadeniam a otvárať </w:t>
      </w:r>
      <w:proofErr w:type="spellStart"/>
      <w:r w:rsidRPr="00FA4A34">
        <w:t>tickety</w:t>
      </w:r>
      <w:proofErr w:type="spellEnd"/>
      <w:r w:rsidRPr="00FA4A34">
        <w:t xml:space="preserve"> na portáli výrobcu.</w:t>
      </w:r>
    </w:p>
    <w:p w14:paraId="6D05E432" w14:textId="77777777" w:rsidR="006C5544" w:rsidRPr="00443B28" w:rsidRDefault="006C5544" w:rsidP="006C5544">
      <w:pPr>
        <w:numPr>
          <w:ilvl w:val="0"/>
          <w:numId w:val="31"/>
        </w:numPr>
        <w:autoSpaceDE w:val="0"/>
        <w:autoSpaceDN w:val="0"/>
        <w:adjustRightInd w:val="0"/>
        <w:ind w:left="284" w:hanging="284"/>
        <w:jc w:val="both"/>
      </w:pPr>
      <w:r w:rsidRPr="00443B28">
        <w:t>Verejný obstarávateľ požaduje dodanie nových, nepoužívaných zariadení v originálnom neporušenom balení.</w:t>
      </w:r>
    </w:p>
    <w:p w14:paraId="161049C1" w14:textId="77777777" w:rsidR="006C5544" w:rsidRPr="00443B28" w:rsidRDefault="006C5544" w:rsidP="006C5544">
      <w:pPr>
        <w:numPr>
          <w:ilvl w:val="0"/>
          <w:numId w:val="31"/>
        </w:numPr>
        <w:autoSpaceDE w:val="0"/>
        <w:autoSpaceDN w:val="0"/>
        <w:adjustRightInd w:val="0"/>
        <w:ind w:left="284" w:hanging="284"/>
        <w:jc w:val="both"/>
      </w:pPr>
      <w:r w:rsidRPr="00443B28">
        <w:t>Verejný obstarávateľ si vyhradzuje právo odmietnuť prevziať tovar, ak tovar svojimi vlastnosťami, resp. kvalitou, špecifikáciou, vadami nezodpovedá tovaru deklarovaného predávajúcim pri podpise kúpnej zmluvy.</w:t>
      </w:r>
    </w:p>
    <w:p w14:paraId="09EA20B2" w14:textId="77777777" w:rsidR="006C5544" w:rsidRPr="00443B28" w:rsidRDefault="006C5544" w:rsidP="006C5544">
      <w:pPr>
        <w:numPr>
          <w:ilvl w:val="0"/>
          <w:numId w:val="31"/>
        </w:numPr>
        <w:autoSpaceDE w:val="0"/>
        <w:autoSpaceDN w:val="0"/>
        <w:adjustRightInd w:val="0"/>
        <w:ind w:left="284" w:hanging="284"/>
        <w:jc w:val="both"/>
      </w:pPr>
      <w:r>
        <w:t xml:space="preserve"> </w:t>
      </w:r>
      <w:r w:rsidRPr="00443B28">
        <w:t>Verejný obstarávateľ si vyhradzuje právo vrátiť nepoškodený tovar v pôvodných obaloch do 14 dní od prevzatia tovaru ak zistí, že dodaný tovar nespĺňa ktorúkoľvek z požadovaných technických špecifikácií alebo nespĺňa osobitné požiadavky na plnenie.</w:t>
      </w:r>
    </w:p>
    <w:p w14:paraId="75F50D40" w14:textId="77777777" w:rsidR="006C5544" w:rsidRPr="00443B28" w:rsidRDefault="006C5544" w:rsidP="006C5544">
      <w:pPr>
        <w:numPr>
          <w:ilvl w:val="0"/>
          <w:numId w:val="31"/>
        </w:numPr>
        <w:autoSpaceDE w:val="0"/>
        <w:autoSpaceDN w:val="0"/>
        <w:adjustRightInd w:val="0"/>
        <w:ind w:left="284" w:hanging="284"/>
        <w:jc w:val="both"/>
      </w:pPr>
      <w:r>
        <w:t xml:space="preserve"> </w:t>
      </w:r>
      <w:r w:rsidRPr="00443B28">
        <w:t xml:space="preserve">Verejný obstarávateľ požaduje záruku na dodaný tovar (hardvérové aj softvérové súčasti) na dobu </w:t>
      </w:r>
      <w:r>
        <w:t>12</w:t>
      </w:r>
      <w:r w:rsidRPr="00443B28">
        <w:t xml:space="preserve"> mesiacov od dátumu dodania.</w:t>
      </w:r>
    </w:p>
    <w:p w14:paraId="550A401E" w14:textId="77777777" w:rsidR="006C5544" w:rsidRPr="00D00DD2" w:rsidRDefault="006C5544" w:rsidP="006C5544">
      <w:pPr>
        <w:numPr>
          <w:ilvl w:val="0"/>
          <w:numId w:val="31"/>
        </w:numPr>
        <w:autoSpaceDE w:val="0"/>
        <w:autoSpaceDN w:val="0"/>
        <w:adjustRightInd w:val="0"/>
        <w:ind w:left="284" w:hanging="284"/>
        <w:jc w:val="both"/>
      </w:pPr>
      <w:r>
        <w:t xml:space="preserve"> </w:t>
      </w:r>
      <w:r w:rsidRPr="00443B28">
        <w:t>Verejný obstarávateľ požaduje dodanie tovaru spolu so servisnou dokumentáciou, návodom na požitie v slovenskom jazyku, záručným listom a preberacím protokolom.</w:t>
      </w:r>
    </w:p>
    <w:p w14:paraId="054AA016" w14:textId="77777777" w:rsidR="006C5544" w:rsidRPr="00BF3A6C" w:rsidRDefault="006C5544" w:rsidP="006C5544">
      <w:pPr>
        <w:numPr>
          <w:ilvl w:val="0"/>
          <w:numId w:val="31"/>
        </w:numPr>
        <w:autoSpaceDE w:val="0"/>
        <w:autoSpaceDN w:val="0"/>
        <w:adjustRightInd w:val="0"/>
        <w:ind w:left="284" w:hanging="284"/>
        <w:jc w:val="both"/>
      </w:pPr>
      <w:r>
        <w:t xml:space="preserve"> </w:t>
      </w:r>
      <w:r w:rsidRPr="00BF3A6C">
        <w:t>Objednávateľ je oprávnený v prípade, ak dôjde zo strany dodávateľa k porušeniu jeho zmluvných povinností podstatným spôsobom, uplatniť voči dodávateľovi jednorazovú zmluvnú pokutu vo výške 5% zo zmluvnej ceny s</w:t>
      </w:r>
      <w:r>
        <w:t> </w:t>
      </w:r>
      <w:r w:rsidRPr="00BF3A6C">
        <w:t>DPH</w:t>
      </w:r>
      <w:r>
        <w:t>.</w:t>
      </w:r>
      <w:r w:rsidRPr="00BF3A6C">
        <w:t xml:space="preserve"> Jednorazovú zmluvnú pokutu vo výške 5% zo zmluvnej ceny s DPH je objednávateľ oprávnený uplatniť voči dodávateľovi aj v prípade, ak z titulu porušenia jeho zmluvných povinností podstatným spôsobom uplatní objednávateľ inštitút odstúpenia od zmluvy. Dodávateľ je povinný predmetnú zmluvnú pokutu uhradiť objednávateľovi do 7 dní od obdržania písomnej výzvy na úhradu zmluvnej pokuty.</w:t>
      </w:r>
    </w:p>
    <w:p w14:paraId="1AEC0FA9" w14:textId="77777777" w:rsidR="006C5544" w:rsidRPr="00BF3A6C" w:rsidRDefault="006C5544" w:rsidP="006C5544">
      <w:pPr>
        <w:numPr>
          <w:ilvl w:val="0"/>
          <w:numId w:val="31"/>
        </w:numPr>
        <w:autoSpaceDE w:val="0"/>
        <w:autoSpaceDN w:val="0"/>
        <w:adjustRightInd w:val="0"/>
        <w:ind w:left="284" w:hanging="284"/>
        <w:jc w:val="both"/>
      </w:pPr>
      <w:r w:rsidRPr="00BF3A6C">
        <w:t>V prípade uplatnenia inštitútu odstúpenia od zmluvy zo strany objednávateľa, objednávateľ vystaví dodávateľovi aj negatívnu referenciu pre úrad pre verejné obstarávanie (UVO), v ktorej UVO oznámi, že došlo k predčasnému ukončeniu zmluvného vzťahu z dôvodu porušenia zmluvných povinností zo strany dodávateľa podstatným spôsobom.</w:t>
      </w:r>
    </w:p>
    <w:p w14:paraId="6D218B8D" w14:textId="77777777" w:rsidR="006C5544" w:rsidRPr="00553792" w:rsidRDefault="006C5544" w:rsidP="006C5544">
      <w:pPr>
        <w:rPr>
          <w:b/>
        </w:rPr>
      </w:pPr>
    </w:p>
    <w:p w14:paraId="59629E2C" w14:textId="375AF0A0" w:rsidR="00701041" w:rsidRDefault="00701041" w:rsidP="00232878">
      <w:pPr>
        <w:jc w:val="both"/>
      </w:pPr>
    </w:p>
    <w:p w14:paraId="36CE0085" w14:textId="17F6B25B" w:rsidR="00701041" w:rsidRDefault="00701041" w:rsidP="00232878">
      <w:pPr>
        <w:jc w:val="both"/>
      </w:pPr>
    </w:p>
    <w:p w14:paraId="6E24FDD6" w14:textId="1C2ADE1A" w:rsidR="00701041" w:rsidRDefault="00701041" w:rsidP="00232878">
      <w:pPr>
        <w:jc w:val="both"/>
      </w:pPr>
    </w:p>
    <w:p w14:paraId="33973987" w14:textId="4B86BEB8" w:rsidR="00701041" w:rsidRDefault="00701041" w:rsidP="00232878">
      <w:pPr>
        <w:jc w:val="both"/>
      </w:pPr>
    </w:p>
    <w:p w14:paraId="0B4F680C" w14:textId="0057479D" w:rsidR="00701041" w:rsidRDefault="00701041" w:rsidP="00232878">
      <w:pPr>
        <w:jc w:val="both"/>
      </w:pPr>
    </w:p>
    <w:p w14:paraId="2F630ECE" w14:textId="063BB43B" w:rsidR="00701041" w:rsidRDefault="00701041" w:rsidP="00232878">
      <w:pPr>
        <w:jc w:val="both"/>
      </w:pPr>
    </w:p>
    <w:p w14:paraId="3B7DF08F" w14:textId="69826F78" w:rsidR="00701041" w:rsidRDefault="00701041" w:rsidP="00232878">
      <w:pPr>
        <w:jc w:val="both"/>
      </w:pPr>
    </w:p>
    <w:p w14:paraId="4BFB4069" w14:textId="00E2D29E" w:rsidR="00701041" w:rsidRDefault="00701041" w:rsidP="00232878">
      <w:pPr>
        <w:jc w:val="both"/>
      </w:pPr>
    </w:p>
    <w:p w14:paraId="18B69C0B" w14:textId="308CFEA8" w:rsidR="00701041" w:rsidRDefault="00701041" w:rsidP="00232878">
      <w:pPr>
        <w:jc w:val="both"/>
      </w:pPr>
    </w:p>
    <w:p w14:paraId="2C123BE7" w14:textId="5290C5FA" w:rsidR="00701041" w:rsidRDefault="00701041" w:rsidP="00232878">
      <w:pPr>
        <w:jc w:val="both"/>
      </w:pPr>
    </w:p>
    <w:p w14:paraId="1707DABB" w14:textId="235EFE12" w:rsidR="00701041" w:rsidRDefault="00701041" w:rsidP="00232878">
      <w:pPr>
        <w:jc w:val="both"/>
      </w:pPr>
    </w:p>
    <w:p w14:paraId="0E45AC9E" w14:textId="21FBE618" w:rsidR="00701041" w:rsidRDefault="00701041" w:rsidP="00232878">
      <w:pPr>
        <w:jc w:val="both"/>
      </w:pPr>
    </w:p>
    <w:p w14:paraId="57B6DF23" w14:textId="1D9B394E" w:rsidR="00701041" w:rsidRDefault="00701041" w:rsidP="00232878">
      <w:pPr>
        <w:jc w:val="both"/>
      </w:pPr>
    </w:p>
    <w:p w14:paraId="66F214EA" w14:textId="70193BF5" w:rsidR="00701041" w:rsidRDefault="00701041" w:rsidP="00232878">
      <w:pPr>
        <w:jc w:val="both"/>
      </w:pPr>
    </w:p>
    <w:p w14:paraId="131E15E0" w14:textId="0439ED33" w:rsidR="00701041" w:rsidRDefault="00701041" w:rsidP="00232878">
      <w:pPr>
        <w:jc w:val="both"/>
      </w:pPr>
    </w:p>
    <w:p w14:paraId="3D4D6132" w14:textId="5C968052" w:rsidR="00701041" w:rsidRDefault="00701041" w:rsidP="00232878">
      <w:pPr>
        <w:jc w:val="both"/>
      </w:pPr>
    </w:p>
    <w:p w14:paraId="14C5BCBB" w14:textId="00E61DD7" w:rsidR="00701041" w:rsidRDefault="00701041" w:rsidP="00232878">
      <w:pPr>
        <w:jc w:val="both"/>
      </w:pPr>
    </w:p>
    <w:p w14:paraId="171374A9" w14:textId="606F29AC" w:rsidR="00701041" w:rsidRDefault="00701041" w:rsidP="00232878">
      <w:pPr>
        <w:jc w:val="both"/>
      </w:pPr>
    </w:p>
    <w:p w14:paraId="239E8C42" w14:textId="147776D4" w:rsidR="00701041" w:rsidRDefault="00701041" w:rsidP="00232878">
      <w:pPr>
        <w:jc w:val="both"/>
      </w:pPr>
    </w:p>
    <w:p w14:paraId="461654FE" w14:textId="61C77408" w:rsidR="00701041" w:rsidRDefault="00701041" w:rsidP="00232878">
      <w:pPr>
        <w:jc w:val="both"/>
      </w:pPr>
    </w:p>
    <w:p w14:paraId="3BBB35FE" w14:textId="18131802" w:rsidR="00701041" w:rsidRDefault="00701041" w:rsidP="00232878">
      <w:pPr>
        <w:jc w:val="both"/>
      </w:pPr>
    </w:p>
    <w:p w14:paraId="2F8CCA30" w14:textId="47355586" w:rsidR="00701041" w:rsidRDefault="00701041" w:rsidP="00232878">
      <w:pPr>
        <w:jc w:val="both"/>
      </w:pPr>
    </w:p>
    <w:p w14:paraId="641ED776" w14:textId="0E3CA548" w:rsidR="00701041" w:rsidRDefault="00701041" w:rsidP="00232878">
      <w:pPr>
        <w:jc w:val="both"/>
      </w:pPr>
    </w:p>
    <w:p w14:paraId="4D73A2B6" w14:textId="77777777" w:rsidR="005B082F" w:rsidRDefault="005B082F" w:rsidP="00232878">
      <w:pPr>
        <w:jc w:val="both"/>
      </w:pPr>
    </w:p>
    <w:p w14:paraId="61EB39C1" w14:textId="77777777" w:rsidR="00701041" w:rsidRDefault="00701041"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E017F4" w:rsidRDefault="005C56ED" w:rsidP="005C56ED">
      <w:pPr>
        <w:jc w:val="center"/>
        <w:rPr>
          <w:rFonts w:asciiTheme="majorHAnsi" w:hAnsiTheme="majorHAnsi" w:cstheme="majorHAnsi"/>
          <w:bCs/>
          <w:color w:val="1F4E79" w:themeColor="accent1" w:themeShade="80"/>
          <w:sz w:val="36"/>
          <w:szCs w:val="36"/>
        </w:rPr>
      </w:pPr>
      <w:r w:rsidRPr="00E017F4">
        <w:rPr>
          <w:rFonts w:asciiTheme="majorHAnsi" w:hAnsiTheme="majorHAnsi" w:cstheme="majorHAnsi"/>
          <w:bCs/>
          <w:color w:val="1F4E79" w:themeColor="accent1" w:themeShade="80"/>
          <w:sz w:val="36"/>
          <w:szCs w:val="36"/>
        </w:rPr>
        <w:t>ZOZNAM SUBDODÁVATEĽOV</w:t>
      </w:r>
    </w:p>
    <w:p w14:paraId="4AD47800" w14:textId="4651AE0B" w:rsidR="00BB5EF7" w:rsidRDefault="00BB5EF7" w:rsidP="006C5544">
      <w:pPr>
        <w:pStyle w:val="Default"/>
        <w:suppressAutoHyphens/>
        <w:autoSpaceDN/>
        <w:adjustRightInd/>
        <w:spacing w:after="60"/>
        <w:rPr>
          <w:rFonts w:ascii="Times New Roman" w:eastAsia="Arial" w:hAnsi="Times New Roman" w:cs="Times New Roman"/>
          <w:b/>
          <w:bCs/>
          <w:color w:val="auto"/>
        </w:rPr>
      </w:pPr>
    </w:p>
    <w:p w14:paraId="468EB263" w14:textId="77777777" w:rsidR="006C5544" w:rsidRDefault="006C5544" w:rsidP="006C5544">
      <w:pPr>
        <w:pStyle w:val="Default"/>
        <w:suppressAutoHyphens/>
        <w:autoSpaceDN/>
        <w:adjustRightInd/>
        <w:spacing w:after="60"/>
        <w:rPr>
          <w:rFonts w:ascii="Times New Roman" w:eastAsia="Arial" w:hAnsi="Times New Roman" w:cs="Times New Roman"/>
          <w:b/>
          <w:bCs/>
          <w:color w:val="auto"/>
        </w:rPr>
      </w:pPr>
    </w:p>
    <w:p w14:paraId="540C6C38" w14:textId="77777777" w:rsidR="00BB5EF7" w:rsidRPr="006C5544" w:rsidRDefault="00BB5EF7" w:rsidP="00BB5EF7">
      <w:pPr>
        <w:autoSpaceDE w:val="0"/>
        <w:autoSpaceDN w:val="0"/>
        <w:adjustRightInd w:val="0"/>
        <w:rPr>
          <w:rFonts w:eastAsia="Calibri"/>
          <w:b/>
          <w:bCs/>
          <w:lang w:eastAsia="en-US"/>
        </w:rPr>
      </w:pPr>
      <w:r w:rsidRPr="006C5544">
        <w:rPr>
          <w:rFonts w:eastAsia="Calibri"/>
          <w:b/>
          <w:bCs/>
          <w:lang w:eastAsia="en-US"/>
        </w:rPr>
        <w:t>Obchodné meno dodávateľa:</w:t>
      </w:r>
    </w:p>
    <w:p w14:paraId="7BA08079" w14:textId="77777777" w:rsidR="00BB5EF7" w:rsidRPr="006C5544" w:rsidRDefault="00BB5EF7" w:rsidP="00BB5EF7">
      <w:pPr>
        <w:autoSpaceDE w:val="0"/>
        <w:autoSpaceDN w:val="0"/>
        <w:adjustRightInd w:val="0"/>
        <w:rPr>
          <w:rFonts w:eastAsia="Calibri"/>
          <w:b/>
          <w:bCs/>
          <w:lang w:eastAsia="en-US"/>
        </w:rPr>
      </w:pPr>
      <w:r w:rsidRPr="006C5544">
        <w:rPr>
          <w:rFonts w:eastAsia="Calibri"/>
          <w:b/>
          <w:bCs/>
          <w:lang w:eastAsia="en-US"/>
        </w:rPr>
        <w:t xml:space="preserve">Sídlo alebo miesto podnikania dodávateľa:  </w:t>
      </w:r>
    </w:p>
    <w:p w14:paraId="576DA3E2" w14:textId="77777777" w:rsidR="00BB5EF7" w:rsidRPr="006C5544" w:rsidRDefault="00BB5EF7" w:rsidP="00BB5EF7">
      <w:pPr>
        <w:autoSpaceDE w:val="0"/>
        <w:autoSpaceDN w:val="0"/>
        <w:adjustRightInd w:val="0"/>
        <w:rPr>
          <w:rFonts w:eastAsia="Calibri"/>
          <w:b/>
          <w:bCs/>
          <w:lang w:eastAsia="en-US"/>
        </w:rPr>
      </w:pPr>
      <w:r w:rsidRPr="006C5544">
        <w:rPr>
          <w:rFonts w:eastAsia="Calibri"/>
          <w:b/>
          <w:bCs/>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4AFFB7B8"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Pr>
          <w:rFonts w:ascii="Times New Roman" w:hAnsi="Times New Roman" w:cs="Times New Roman"/>
        </w:rPr>
        <w:t>„</w:t>
      </w:r>
      <w:r w:rsidR="00701041" w:rsidRPr="00701041">
        <w:rPr>
          <w:rFonts w:ascii="Times New Roman" w:hAnsi="Times New Roman" w:cs="Times New Roman"/>
          <w:b/>
          <w:bCs/>
        </w:rPr>
        <w:t xml:space="preserve">Nákup </w:t>
      </w:r>
      <w:r w:rsidR="006C5544" w:rsidRPr="006C5544">
        <w:rPr>
          <w:rFonts w:ascii="Times New Roman" w:hAnsi="Times New Roman" w:cs="Times New Roman"/>
          <w:b/>
          <w:bCs/>
        </w:rPr>
        <w:t>10Gig optického switchu do externých podmienok</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7A1A9C">
      <w:headerReference w:type="default" r:id="rId10"/>
      <w:footerReference w:type="default" r:id="rId11"/>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936109"/>
      <w:docPartObj>
        <w:docPartGallery w:val="Page Numbers (Bottom of Page)"/>
        <w:docPartUnique/>
      </w:docPartObj>
    </w:sdtPr>
    <w:sdtEndPr/>
    <w:sdtContent>
      <w:p w14:paraId="5AFA3E24" w14:textId="4D2EC9F0" w:rsidR="009518F7" w:rsidRDefault="00E017F4" w:rsidP="00046AEE">
        <w:pPr>
          <w:pStyle w:val="Pt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5410D1EF" w:rsidR="00243E10" w:rsidRPr="00D6715A" w:rsidRDefault="00243E10" w:rsidP="00D6715A">
    <w:pPr>
      <w:pStyle w:val="Hlavika"/>
      <w:jc w:val="both"/>
      <w:rPr>
        <w:b/>
        <w:bCs/>
        <w:sz w:val="22"/>
      </w:rPr>
    </w:pPr>
    <w:r w:rsidRPr="00243E10">
      <w:rPr>
        <w:b/>
        <w:bCs/>
        <w:sz w:val="22"/>
      </w:rPr>
      <w:t xml:space="preserve">Príloha č. </w:t>
    </w:r>
    <w:r w:rsidR="00453AEA">
      <w:rPr>
        <w:b/>
        <w:bCs/>
        <w:sz w:val="22"/>
      </w:rPr>
      <w:t>3</w:t>
    </w:r>
    <w:r w:rsidRPr="00243E10">
      <w:rPr>
        <w:b/>
        <w:bCs/>
        <w:sz w:val="22"/>
      </w:rPr>
      <w:t xml:space="preserve"> výzvy č. </w:t>
    </w:r>
    <w:r w:rsidR="00A27810">
      <w:rPr>
        <w:b/>
        <w:bCs/>
        <w:sz w:val="22"/>
      </w:rPr>
      <w:t>2</w:t>
    </w:r>
    <w:r w:rsidRPr="00243E10">
      <w:rPr>
        <w:b/>
        <w:bCs/>
        <w:sz w:val="22"/>
      </w:rPr>
      <w:t xml:space="preserve"> - „</w:t>
    </w:r>
    <w:r w:rsidR="00453AEA">
      <w:rPr>
        <w:b/>
        <w:bCs/>
        <w:sz w:val="22"/>
      </w:rPr>
      <w:t xml:space="preserve">Nákup </w:t>
    </w:r>
    <w:r w:rsidR="00A27810" w:rsidRPr="00A27810">
      <w:rPr>
        <w:b/>
        <w:bCs/>
        <w:sz w:val="22"/>
      </w:rPr>
      <w:t>10Gig optického switchu do externých podmienok</w:t>
    </w:r>
    <w:r w:rsidRPr="00243E10">
      <w:rPr>
        <w:b/>
        <w:bCs/>
        <w:sz w:val="22"/>
      </w:rPr>
      <w:t>“ v rámci zriadeného DNS „</w:t>
    </w:r>
    <w:r w:rsidR="00453AEA">
      <w:rPr>
        <w:b/>
        <w:bCs/>
        <w:sz w:val="22"/>
      </w:rPr>
      <w:t>Servery, sieťové zariadenia a podpora</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14243"/>
    <w:multiLevelType w:val="multilevel"/>
    <w:tmpl w:val="98C64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611A4E"/>
    <w:multiLevelType w:val="hybridMultilevel"/>
    <w:tmpl w:val="5A7013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HlavikaCha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30"/>
  </w:num>
  <w:num w:numId="3">
    <w:abstractNumId w:val="7"/>
  </w:num>
  <w:num w:numId="4">
    <w:abstractNumId w:val="33"/>
  </w:num>
  <w:num w:numId="5">
    <w:abstractNumId w:val="28"/>
  </w:num>
  <w:num w:numId="6">
    <w:abstractNumId w:val="31"/>
  </w:num>
  <w:num w:numId="7">
    <w:abstractNumId w:val="21"/>
  </w:num>
  <w:num w:numId="8">
    <w:abstractNumId w:val="5"/>
  </w:num>
  <w:num w:numId="9">
    <w:abstractNumId w:val="25"/>
  </w:num>
  <w:num w:numId="10">
    <w:abstractNumId w:val="8"/>
  </w:num>
  <w:num w:numId="11">
    <w:abstractNumId w:val="19"/>
  </w:num>
  <w:num w:numId="12">
    <w:abstractNumId w:val="11"/>
  </w:num>
  <w:num w:numId="13">
    <w:abstractNumId w:val="1"/>
  </w:num>
  <w:num w:numId="14">
    <w:abstractNumId w:val="4"/>
  </w:num>
  <w:num w:numId="15">
    <w:abstractNumId w:val="13"/>
  </w:num>
  <w:num w:numId="16">
    <w:abstractNumId w:val="15"/>
  </w:num>
  <w:num w:numId="17">
    <w:abstractNumId w:val="20"/>
  </w:num>
  <w:num w:numId="18">
    <w:abstractNumId w:val="23"/>
  </w:num>
  <w:num w:numId="19">
    <w:abstractNumId w:val="16"/>
  </w:num>
  <w:num w:numId="20">
    <w:abstractNumId w:val="0"/>
  </w:num>
  <w:num w:numId="21">
    <w:abstractNumId w:val="29"/>
  </w:num>
  <w:num w:numId="22">
    <w:abstractNumId w:val="12"/>
  </w:num>
  <w:num w:numId="23">
    <w:abstractNumId w:val="9"/>
  </w:num>
  <w:num w:numId="24">
    <w:abstractNumId w:val="3"/>
  </w:num>
  <w:num w:numId="25">
    <w:abstractNumId w:val="24"/>
  </w:num>
  <w:num w:numId="26">
    <w:abstractNumId w:val="2"/>
  </w:num>
  <w:num w:numId="27">
    <w:abstractNumId w:val="6"/>
  </w:num>
  <w:num w:numId="28">
    <w:abstractNumId w:val="18"/>
  </w:num>
  <w:num w:numId="29">
    <w:abstractNumId w:val="10"/>
  </w:num>
  <w:num w:numId="30">
    <w:abstractNumId w:val="26"/>
  </w:num>
  <w:num w:numId="31">
    <w:abstractNumId w:val="14"/>
  </w:num>
  <w:num w:numId="32">
    <w:abstractNumId w:val="32"/>
  </w:num>
  <w:num w:numId="33">
    <w:abstractNumId w:val="2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522C3"/>
    <w:rsid w:val="000529DA"/>
    <w:rsid w:val="00057D07"/>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7282"/>
    <w:rsid w:val="002C3686"/>
    <w:rsid w:val="002C555B"/>
    <w:rsid w:val="002C581E"/>
    <w:rsid w:val="002D38FB"/>
    <w:rsid w:val="002E2CA5"/>
    <w:rsid w:val="002E3714"/>
    <w:rsid w:val="002F7D88"/>
    <w:rsid w:val="00316BAB"/>
    <w:rsid w:val="00321C2F"/>
    <w:rsid w:val="00332343"/>
    <w:rsid w:val="00341241"/>
    <w:rsid w:val="00342FBA"/>
    <w:rsid w:val="003575AA"/>
    <w:rsid w:val="00364917"/>
    <w:rsid w:val="00373E37"/>
    <w:rsid w:val="00375E0C"/>
    <w:rsid w:val="003768D1"/>
    <w:rsid w:val="0039081C"/>
    <w:rsid w:val="003975F3"/>
    <w:rsid w:val="003A1DB5"/>
    <w:rsid w:val="003A41D6"/>
    <w:rsid w:val="003B7AB8"/>
    <w:rsid w:val="003B7E77"/>
    <w:rsid w:val="003D2252"/>
    <w:rsid w:val="00423051"/>
    <w:rsid w:val="0042757A"/>
    <w:rsid w:val="00453AEA"/>
    <w:rsid w:val="00453C0B"/>
    <w:rsid w:val="00456ED2"/>
    <w:rsid w:val="00466FCC"/>
    <w:rsid w:val="00476646"/>
    <w:rsid w:val="00477BB7"/>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80C15"/>
    <w:rsid w:val="0058763D"/>
    <w:rsid w:val="00597C23"/>
    <w:rsid w:val="005A0C9F"/>
    <w:rsid w:val="005A16C5"/>
    <w:rsid w:val="005A52AC"/>
    <w:rsid w:val="005B0055"/>
    <w:rsid w:val="005B082F"/>
    <w:rsid w:val="005B4C48"/>
    <w:rsid w:val="005C20E8"/>
    <w:rsid w:val="005C4625"/>
    <w:rsid w:val="005C56ED"/>
    <w:rsid w:val="005C6157"/>
    <w:rsid w:val="005D3F15"/>
    <w:rsid w:val="005D5B64"/>
    <w:rsid w:val="005D74A3"/>
    <w:rsid w:val="005E3564"/>
    <w:rsid w:val="005F6D6C"/>
    <w:rsid w:val="006017D5"/>
    <w:rsid w:val="00606F39"/>
    <w:rsid w:val="0062687A"/>
    <w:rsid w:val="00635BD2"/>
    <w:rsid w:val="00636365"/>
    <w:rsid w:val="00637015"/>
    <w:rsid w:val="00642651"/>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C5544"/>
    <w:rsid w:val="006D74C2"/>
    <w:rsid w:val="00701041"/>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18F7"/>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27810"/>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C06C7F"/>
    <w:rsid w:val="00C07936"/>
    <w:rsid w:val="00C1100A"/>
    <w:rsid w:val="00C13AA9"/>
    <w:rsid w:val="00C27F26"/>
    <w:rsid w:val="00C34DDC"/>
    <w:rsid w:val="00C35876"/>
    <w:rsid w:val="00C365D1"/>
    <w:rsid w:val="00C5468A"/>
    <w:rsid w:val="00C61A26"/>
    <w:rsid w:val="00C663F2"/>
    <w:rsid w:val="00C7676B"/>
    <w:rsid w:val="00C9217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751B3"/>
    <w:rsid w:val="00D9372C"/>
    <w:rsid w:val="00D9690A"/>
    <w:rsid w:val="00D9757B"/>
    <w:rsid w:val="00DA4C52"/>
    <w:rsid w:val="00DA7562"/>
    <w:rsid w:val="00DB07BD"/>
    <w:rsid w:val="00DB322F"/>
    <w:rsid w:val="00DC6095"/>
    <w:rsid w:val="00DD2792"/>
    <w:rsid w:val="00E017F4"/>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814B7"/>
    <w:rsid w:val="00E87AE0"/>
    <w:rsid w:val="00E91BCB"/>
    <w:rsid w:val="00EA0CA8"/>
    <w:rsid w:val="00EA2B8A"/>
    <w:rsid w:val="00EA4278"/>
    <w:rsid w:val="00EA4B8E"/>
    <w:rsid w:val="00EB4ED6"/>
    <w:rsid w:val="00EB6F92"/>
    <w:rsid w:val="00EC4CAB"/>
    <w:rsid w:val="00EC50D7"/>
    <w:rsid w:val="00ED05F9"/>
    <w:rsid w:val="00ED6FC2"/>
    <w:rsid w:val="00EF3737"/>
    <w:rsid w:val="00F14468"/>
    <w:rsid w:val="00F16827"/>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kapitoly"/>
    <w:basedOn w:val="Normlny"/>
    <w:next w:val="Normlny"/>
    <w:link w:val="Nadpis1Char"/>
    <w:qFormat/>
    <w:rsid w:val="00F16827"/>
    <w:pPr>
      <w:keepNext/>
      <w:jc w:val="center"/>
      <w:outlineLvl w:val="0"/>
    </w:pPr>
    <w:rPr>
      <w:b/>
      <w:bCs/>
      <w:sz w:val="28"/>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a)"/>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unhideWhenUsed/>
    <w:rsid w:val="004F4839"/>
    <w:rPr>
      <w:sz w:val="16"/>
      <w:szCs w:val="16"/>
    </w:rPr>
  </w:style>
  <w:style w:type="paragraph" w:styleId="Textkomentra">
    <w:name w:val="annotation text"/>
    <w:basedOn w:val="Normlny"/>
    <w:link w:val="TextkomentraChar"/>
    <w:uiPriority w:val="99"/>
    <w:unhideWhenUsed/>
    <w:rsid w:val="004F4839"/>
    <w:rPr>
      <w:sz w:val="20"/>
      <w:szCs w:val="20"/>
    </w:rPr>
  </w:style>
  <w:style w:type="character" w:customStyle="1" w:styleId="TextkomentraChar">
    <w:name w:val="Text komentára Char"/>
    <w:basedOn w:val="Predvolenpsmoodseku"/>
    <w:link w:val="Textkomentra"/>
    <w:uiPriority w:val="99"/>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Odsek a)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styleId="Hypertextovprepojenie">
    <w:name w:val="Hyperlink"/>
    <w:uiPriority w:val="99"/>
    <w:rsid w:val="009518F7"/>
    <w:rPr>
      <w:color w:val="0000FF"/>
      <w:u w:val="single"/>
    </w:rPr>
  </w:style>
  <w:style w:type="character" w:customStyle="1" w:styleId="Nadpis1Char">
    <w:name w:val="Nadpis 1 Char"/>
    <w:aliases w:val="Nadpis 1 - kapitoly Char"/>
    <w:basedOn w:val="Predvolenpsmoodseku"/>
    <w:link w:val="Nadpis1"/>
    <w:rsid w:val="00F16827"/>
    <w:rPr>
      <w:rFonts w:ascii="Times New Roman" w:eastAsia="Times New Roman" w:hAnsi="Times New Roman" w:cs="Times New Roman"/>
      <w:b/>
      <w:bCs/>
      <w:sz w:val="28"/>
      <w:lang w:val="x-none" w:eastAsia="x-none"/>
    </w:rPr>
  </w:style>
  <w:style w:type="paragraph" w:styleId="Revzia">
    <w:name w:val="Revision"/>
    <w:hidden/>
    <w:uiPriority w:val="99"/>
    <w:semiHidden/>
    <w:rsid w:val="00642651"/>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3325</Words>
  <Characters>18956</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2020-11-07T09:46:00Z</dcterms:created>
  <dcterms:modified xsi:type="dcterms:W3CDTF">2020-11-07T09:46:00Z</dcterms:modified>
</cp:coreProperties>
</file>