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1E91845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293C1A">
        <w:rPr>
          <w:rFonts w:ascii="Arial Narrow" w:hAnsi="Arial Narrow"/>
          <w:b/>
          <w:sz w:val="28"/>
          <w:szCs w:val="22"/>
        </w:rPr>
        <w:t>ORŠHR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B1C2C8E" w14:textId="54F1EFFB" w:rsidR="00130C9C" w:rsidRPr="00BA03AF" w:rsidRDefault="00130C9C" w:rsidP="00130C9C">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293C1A">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4404F603" w14:textId="77777777" w:rsidR="001220E6" w:rsidRPr="00BA03AF" w:rsidRDefault="001220E6" w:rsidP="001220E6">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D5E98CD" w14:textId="1ACA374E" w:rsidR="001220E6" w:rsidRPr="00BA03AF" w:rsidRDefault="001220E6" w:rsidP="001220E6">
      <w:pPr>
        <w:ind w:left="3540" w:firstLine="708"/>
        <w:jc w:val="both"/>
        <w:rPr>
          <w:rFonts w:ascii="Arial Narrow" w:hAnsi="Arial Narrow"/>
          <w:sz w:val="22"/>
          <w:szCs w:val="22"/>
        </w:rPr>
      </w:pPr>
      <w:r w:rsidRPr="00BA03AF">
        <w:rPr>
          <w:rFonts w:ascii="Arial Narrow" w:hAnsi="Arial Narrow"/>
          <w:sz w:val="22"/>
          <w:szCs w:val="22"/>
        </w:rPr>
        <w:t xml:space="preserve">email: </w:t>
      </w:r>
      <w:r w:rsidR="00E76C6E">
        <w:rPr>
          <w:rFonts w:ascii="Arial Narrow" w:hAnsi="Arial Narrow"/>
          <w:sz w:val="22"/>
          <w:szCs w:val="22"/>
        </w:rPr>
        <w:t>reserves</w:t>
      </w:r>
      <w:r>
        <w:rPr>
          <w:rFonts w:ascii="Arial Narrow" w:hAnsi="Arial Narrow"/>
          <w:sz w:val="22"/>
          <w:szCs w:val="22"/>
        </w:rPr>
        <w:t>@reserves.gov.sk</w:t>
      </w:r>
    </w:p>
    <w:p w14:paraId="3DD8B5F9" w14:textId="77777777" w:rsidR="006C480B" w:rsidRDefault="001220E6" w:rsidP="006C480B">
      <w:pPr>
        <w:ind w:left="1416" w:firstLine="708"/>
        <w:jc w:val="both"/>
        <w:rPr>
          <w:rFonts w:ascii="Arial Narrow" w:hAnsi="Arial Narrow"/>
          <w:b/>
          <w:color w:val="000000"/>
          <w:sz w:val="22"/>
          <w:szCs w:val="22"/>
        </w:rPr>
      </w:pPr>
      <w:r w:rsidRPr="00BA03AF">
        <w:rPr>
          <w:rFonts w:ascii="Arial Narrow" w:hAnsi="Arial Narrow"/>
          <w:color w:val="000000"/>
          <w:sz w:val="22"/>
          <w:szCs w:val="22"/>
        </w:rPr>
        <w:t>vo veciach dodacích:</w:t>
      </w:r>
      <w:r w:rsidR="00E76C6E">
        <w:rPr>
          <w:rFonts w:ascii="Arial Narrow" w:hAnsi="Arial Narrow"/>
          <w:color w:val="000000"/>
          <w:sz w:val="22"/>
          <w:szCs w:val="22"/>
        </w:rPr>
        <w:t xml:space="preserve">         </w:t>
      </w:r>
      <w:r w:rsidR="00E76C6E" w:rsidRPr="00425DAE">
        <w:rPr>
          <w:rFonts w:ascii="Arial Narrow" w:hAnsi="Arial Narrow"/>
          <w:b/>
          <w:color w:val="000000"/>
          <w:sz w:val="22"/>
          <w:szCs w:val="22"/>
        </w:rPr>
        <w:t>Ing. PaedDr. Ivan Kováčik</w:t>
      </w:r>
    </w:p>
    <w:p w14:paraId="66D46A14" w14:textId="0D457CFD" w:rsidR="00E76C6E" w:rsidRPr="00425DAE" w:rsidRDefault="00E76C6E" w:rsidP="006C480B">
      <w:pPr>
        <w:ind w:left="3537" w:firstLine="708"/>
        <w:jc w:val="both"/>
        <w:rPr>
          <w:rFonts w:ascii="Arial Narrow" w:hAnsi="Arial Narrow"/>
          <w:color w:val="000000"/>
          <w:sz w:val="22"/>
          <w:szCs w:val="22"/>
        </w:rPr>
      </w:pPr>
      <w:bookmarkStart w:id="0" w:name="_GoBack"/>
      <w:bookmarkEnd w:id="0"/>
      <w:proofErr w:type="spellStart"/>
      <w:r w:rsidRPr="00425DAE">
        <w:rPr>
          <w:rFonts w:ascii="Arial Narrow" w:hAnsi="Arial Narrow"/>
          <w:color w:val="000000"/>
          <w:sz w:val="22"/>
          <w:szCs w:val="22"/>
        </w:rPr>
        <w:t>tel.č</w:t>
      </w:r>
      <w:proofErr w:type="spellEnd"/>
      <w:r w:rsidRPr="00425DAE">
        <w:rPr>
          <w:rFonts w:ascii="Arial Narrow" w:hAnsi="Arial Narrow"/>
          <w:color w:val="000000"/>
          <w:sz w:val="22"/>
          <w:szCs w:val="22"/>
        </w:rPr>
        <w:t xml:space="preserve">. </w:t>
      </w:r>
      <w:r w:rsidRPr="00425DAE">
        <w:rPr>
          <w:rFonts w:ascii="Arial Narrow" w:hAnsi="Arial Narrow"/>
          <w:sz w:val="22"/>
          <w:szCs w:val="22"/>
        </w:rPr>
        <w:t>0903 806 004</w:t>
      </w:r>
      <w:r w:rsidRPr="00425DAE">
        <w:rPr>
          <w:rFonts w:ascii="Arial Narrow" w:hAnsi="Arial Narrow"/>
          <w:color w:val="000000"/>
          <w:sz w:val="22"/>
          <w:szCs w:val="22"/>
        </w:rPr>
        <w:t xml:space="preserve">, </w:t>
      </w:r>
    </w:p>
    <w:p w14:paraId="7DF67F5E" w14:textId="77777777" w:rsidR="00E76C6E" w:rsidRPr="00425DAE" w:rsidRDefault="00E76C6E" w:rsidP="00E76C6E">
      <w:pPr>
        <w:ind w:left="4245"/>
        <w:jc w:val="both"/>
        <w:rPr>
          <w:rFonts w:ascii="Arial Narrow" w:hAnsi="Arial Narrow"/>
          <w:color w:val="000000"/>
          <w:sz w:val="22"/>
          <w:szCs w:val="22"/>
        </w:rPr>
      </w:pPr>
      <w:r w:rsidRPr="00425DAE">
        <w:rPr>
          <w:rFonts w:ascii="Arial Narrow" w:hAnsi="Arial Narrow"/>
          <w:color w:val="000000"/>
          <w:sz w:val="22"/>
          <w:szCs w:val="22"/>
        </w:rPr>
        <w:t>email: ivan.kovacik</w:t>
      </w:r>
      <w:r w:rsidRPr="00425DAE">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11C36A8E"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1137AD05" w:rsidR="00C96EDF" w:rsidRPr="00B25600" w:rsidRDefault="00C96EDF" w:rsidP="0088752D">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w:t>
      </w:r>
      <w:r w:rsidR="00631314">
        <w:rPr>
          <w:rFonts w:ascii="Arial Narrow" w:hAnsi="Arial Narrow"/>
          <w:sz w:val="22"/>
          <w:szCs w:val="22"/>
        </w:rPr>
        <w:t>Osobné o</w:t>
      </w:r>
      <w:r>
        <w:rPr>
          <w:rFonts w:ascii="Arial Narrow" w:hAnsi="Arial Narrow"/>
          <w:sz w:val="22"/>
          <w:szCs w:val="22"/>
        </w:rPr>
        <w:t xml:space="preserve">chranné pracovné </w:t>
      </w:r>
      <w:r w:rsidR="00631314">
        <w:rPr>
          <w:rFonts w:ascii="Arial Narrow" w:hAnsi="Arial Narrow"/>
          <w:sz w:val="22"/>
          <w:szCs w:val="22"/>
        </w:rPr>
        <w:t xml:space="preserve">pomôcky </w:t>
      </w:r>
      <w:r>
        <w:rPr>
          <w:rFonts w:ascii="Arial Narrow" w:hAnsi="Arial Narrow"/>
          <w:sz w:val="22"/>
          <w:szCs w:val="22"/>
        </w:rPr>
        <w:t xml:space="preserve">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88752D">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88752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W w:w="4695" w:type="pct"/>
        <w:tblInd w:w="558" w:type="dxa"/>
        <w:tblLook w:val="04A0" w:firstRow="1" w:lastRow="0" w:firstColumn="1" w:lastColumn="0" w:noHBand="0" w:noVBand="1"/>
      </w:tblPr>
      <w:tblGrid>
        <w:gridCol w:w="431"/>
        <w:gridCol w:w="2692"/>
        <w:gridCol w:w="568"/>
        <w:gridCol w:w="1559"/>
        <w:gridCol w:w="1275"/>
        <w:gridCol w:w="1984"/>
      </w:tblGrid>
      <w:tr w:rsidR="00E174FE" w:rsidRPr="00BA03AF" w14:paraId="1C85C06B" w14:textId="77777777" w:rsidTr="00116A75">
        <w:trPr>
          <w:trHeight w:val="507"/>
        </w:trPr>
        <w:tc>
          <w:tcPr>
            <w:tcW w:w="253" w:type="pct"/>
            <w:vAlign w:val="center"/>
          </w:tcPr>
          <w:p w14:paraId="7797E98D"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P. č.</w:t>
            </w:r>
          </w:p>
        </w:tc>
        <w:tc>
          <w:tcPr>
            <w:tcW w:w="1582" w:type="pct"/>
            <w:vAlign w:val="center"/>
          </w:tcPr>
          <w:p w14:paraId="19E7B0B3"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Názov</w:t>
            </w:r>
          </w:p>
        </w:tc>
        <w:tc>
          <w:tcPr>
            <w:tcW w:w="334" w:type="pct"/>
            <w:vAlign w:val="center"/>
          </w:tcPr>
          <w:p w14:paraId="68727AD9"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MJ</w:t>
            </w:r>
          </w:p>
        </w:tc>
        <w:tc>
          <w:tcPr>
            <w:tcW w:w="916" w:type="pct"/>
            <w:vAlign w:val="center"/>
          </w:tcPr>
          <w:p w14:paraId="0ADFBD0A" w14:textId="77777777" w:rsidR="00C96EDF" w:rsidRPr="00BA03AF" w:rsidRDefault="00C96EDF" w:rsidP="0088752D">
            <w:pPr>
              <w:jc w:val="center"/>
              <w:rPr>
                <w:rFonts w:ascii="Arial Narrow" w:hAnsi="Arial Narrow"/>
                <w:sz w:val="22"/>
                <w:szCs w:val="22"/>
              </w:rPr>
            </w:pPr>
            <w:r w:rsidRPr="00BA03AF">
              <w:rPr>
                <w:rFonts w:ascii="Arial Narrow" w:hAnsi="Arial Narrow"/>
                <w:sz w:val="22"/>
                <w:szCs w:val="22"/>
              </w:rPr>
              <w:t>Cena za MJ/EUR s DPH</w:t>
            </w:r>
          </w:p>
        </w:tc>
        <w:tc>
          <w:tcPr>
            <w:tcW w:w="749" w:type="pct"/>
            <w:vAlign w:val="center"/>
          </w:tcPr>
          <w:p w14:paraId="4463D2D1" w14:textId="77777777" w:rsidR="00C96EDF" w:rsidRPr="002E0167" w:rsidRDefault="00C96EDF" w:rsidP="0088752D">
            <w:pPr>
              <w:jc w:val="center"/>
              <w:rPr>
                <w:rFonts w:ascii="Arial Narrow" w:hAnsi="Arial Narrow"/>
                <w:sz w:val="22"/>
                <w:szCs w:val="22"/>
              </w:rPr>
            </w:pPr>
            <w:r w:rsidRPr="002E0167">
              <w:rPr>
                <w:rFonts w:ascii="Arial Narrow" w:hAnsi="Arial Narrow"/>
                <w:sz w:val="22"/>
                <w:szCs w:val="22"/>
              </w:rPr>
              <w:t>Množstvo</w:t>
            </w:r>
          </w:p>
        </w:tc>
        <w:tc>
          <w:tcPr>
            <w:tcW w:w="1166" w:type="pct"/>
            <w:vAlign w:val="center"/>
          </w:tcPr>
          <w:p w14:paraId="449B7FE1" w14:textId="0366F263" w:rsidR="00C96EDF" w:rsidRPr="00BA03AF" w:rsidRDefault="00C96EDF" w:rsidP="0088752D">
            <w:pPr>
              <w:jc w:val="center"/>
              <w:rPr>
                <w:rFonts w:ascii="Arial Narrow" w:hAnsi="Arial Narrow"/>
                <w:sz w:val="22"/>
                <w:szCs w:val="22"/>
              </w:rPr>
            </w:pPr>
            <w:r w:rsidRPr="00BA03AF">
              <w:rPr>
                <w:rFonts w:ascii="Arial Narrow" w:hAnsi="Arial Narrow"/>
                <w:sz w:val="22"/>
                <w:szCs w:val="22"/>
              </w:rPr>
              <w:t xml:space="preserve">Cena celkom </w:t>
            </w:r>
            <w:r w:rsidR="00E174FE">
              <w:rPr>
                <w:rFonts w:ascii="Arial Narrow" w:hAnsi="Arial Narrow"/>
                <w:sz w:val="22"/>
                <w:szCs w:val="22"/>
              </w:rPr>
              <w:br/>
            </w:r>
            <w:r w:rsidRPr="00BA03AF">
              <w:rPr>
                <w:rFonts w:ascii="Arial Narrow" w:hAnsi="Arial Narrow"/>
                <w:sz w:val="22"/>
                <w:szCs w:val="22"/>
              </w:rPr>
              <w:t>v EUR s DPH</w:t>
            </w:r>
          </w:p>
        </w:tc>
      </w:tr>
      <w:tr w:rsidR="00E174FE" w:rsidRPr="00BA03AF" w14:paraId="454E6379" w14:textId="77777777" w:rsidTr="00116A75">
        <w:trPr>
          <w:trHeight w:val="452"/>
        </w:trPr>
        <w:tc>
          <w:tcPr>
            <w:tcW w:w="253" w:type="pct"/>
            <w:vAlign w:val="center"/>
          </w:tcPr>
          <w:p w14:paraId="52338F01" w14:textId="76746BDF" w:rsidR="00C96EDF" w:rsidRPr="00BA03AF" w:rsidRDefault="00AF2B51" w:rsidP="0088752D">
            <w:pPr>
              <w:jc w:val="center"/>
              <w:rPr>
                <w:rFonts w:ascii="Arial Narrow" w:hAnsi="Arial Narrow"/>
                <w:sz w:val="22"/>
                <w:szCs w:val="22"/>
              </w:rPr>
            </w:pPr>
            <w:r>
              <w:rPr>
                <w:rFonts w:ascii="Arial Narrow" w:hAnsi="Arial Narrow"/>
                <w:sz w:val="22"/>
                <w:szCs w:val="22"/>
              </w:rPr>
              <w:t>1.</w:t>
            </w:r>
          </w:p>
        </w:tc>
        <w:tc>
          <w:tcPr>
            <w:tcW w:w="1582" w:type="pct"/>
            <w:vAlign w:val="center"/>
          </w:tcPr>
          <w:p w14:paraId="1F01F3CE" w14:textId="3106B3BB" w:rsidR="00C96EDF" w:rsidRPr="00BA03AF" w:rsidRDefault="00593A73" w:rsidP="0088752D">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Jednorazové </w:t>
            </w:r>
            <w:proofErr w:type="spellStart"/>
            <w:r w:rsidR="00116A75">
              <w:rPr>
                <w:rFonts w:ascii="Arial Narrow" w:hAnsi="Arial Narrow"/>
                <w:color w:val="000000"/>
                <w:sz w:val="22"/>
                <w:szCs w:val="22"/>
                <w:lang w:eastAsia="sk-SK"/>
              </w:rPr>
              <w:t>nitrilové</w:t>
            </w:r>
            <w:proofErr w:type="spellEnd"/>
            <w:r w:rsidR="00116A75">
              <w:rPr>
                <w:rFonts w:ascii="Arial Narrow" w:hAnsi="Arial Narrow"/>
                <w:color w:val="000000"/>
                <w:sz w:val="22"/>
                <w:szCs w:val="22"/>
                <w:lang w:eastAsia="sk-SK"/>
              </w:rPr>
              <w:t xml:space="preserve"> </w:t>
            </w:r>
            <w:r>
              <w:rPr>
                <w:rFonts w:ascii="Arial Narrow" w:hAnsi="Arial Narrow"/>
                <w:color w:val="000000"/>
                <w:sz w:val="22"/>
                <w:szCs w:val="22"/>
                <w:lang w:eastAsia="sk-SK"/>
              </w:rPr>
              <w:t>rukavice</w:t>
            </w:r>
            <w:r>
              <w:rPr>
                <w:rFonts w:ascii="Arial Narrow" w:hAnsi="Arial Narrow"/>
                <w:color w:val="000000"/>
                <w:sz w:val="22"/>
                <w:szCs w:val="22"/>
                <w:lang w:eastAsia="sk-SK"/>
              </w:rPr>
              <w:br/>
              <w:t xml:space="preserve">pre všeobecné použitie </w:t>
            </w:r>
          </w:p>
        </w:tc>
        <w:tc>
          <w:tcPr>
            <w:tcW w:w="334" w:type="pct"/>
            <w:vAlign w:val="center"/>
          </w:tcPr>
          <w:p w14:paraId="28F2E288" w14:textId="1F5B0C72" w:rsidR="00C96EDF" w:rsidRPr="00BA03AF" w:rsidRDefault="00AF2B51" w:rsidP="0088752D">
            <w:pPr>
              <w:jc w:val="center"/>
              <w:rPr>
                <w:rFonts w:ascii="Arial Narrow" w:hAnsi="Arial Narrow"/>
                <w:sz w:val="22"/>
                <w:szCs w:val="22"/>
              </w:rPr>
            </w:pPr>
            <w:r>
              <w:rPr>
                <w:rFonts w:ascii="Arial Narrow" w:hAnsi="Arial Narrow"/>
                <w:sz w:val="22"/>
                <w:szCs w:val="22"/>
              </w:rPr>
              <w:t>ks</w:t>
            </w:r>
          </w:p>
        </w:tc>
        <w:tc>
          <w:tcPr>
            <w:tcW w:w="916" w:type="pct"/>
            <w:vAlign w:val="center"/>
          </w:tcPr>
          <w:p w14:paraId="08E933D5" w14:textId="77777777" w:rsidR="00C96EDF" w:rsidRPr="00BA03AF" w:rsidRDefault="00C96EDF" w:rsidP="0088752D">
            <w:pPr>
              <w:jc w:val="right"/>
              <w:rPr>
                <w:rFonts w:ascii="Arial Narrow" w:hAnsi="Arial Narrow"/>
                <w:sz w:val="22"/>
                <w:szCs w:val="22"/>
              </w:rPr>
            </w:pPr>
          </w:p>
        </w:tc>
        <w:tc>
          <w:tcPr>
            <w:tcW w:w="749" w:type="pct"/>
            <w:vAlign w:val="center"/>
          </w:tcPr>
          <w:p w14:paraId="75761D3C" w14:textId="1D96A740" w:rsidR="00C96EDF" w:rsidRPr="002E0167" w:rsidRDefault="00224F2E" w:rsidP="0088752D">
            <w:pPr>
              <w:jc w:val="right"/>
              <w:rPr>
                <w:rFonts w:ascii="Arial Narrow" w:hAnsi="Arial Narrow" w:cs="Calibri"/>
                <w:color w:val="000000"/>
                <w:sz w:val="22"/>
                <w:szCs w:val="22"/>
              </w:rPr>
            </w:pPr>
            <w:r w:rsidRPr="002E0167">
              <w:rPr>
                <w:rFonts w:ascii="Arial Narrow" w:hAnsi="Arial Narrow" w:cs="Calibri"/>
                <w:color w:val="000000"/>
                <w:sz w:val="22"/>
                <w:szCs w:val="22"/>
              </w:rPr>
              <w:t>2 1</w:t>
            </w:r>
            <w:r w:rsidR="002368C3" w:rsidRPr="002E0167">
              <w:rPr>
                <w:rFonts w:ascii="Arial Narrow" w:hAnsi="Arial Narrow" w:cs="Calibri"/>
                <w:color w:val="000000"/>
                <w:sz w:val="22"/>
                <w:szCs w:val="22"/>
              </w:rPr>
              <w:t>0</w:t>
            </w:r>
            <w:r w:rsidR="00AF2B51" w:rsidRPr="002E0167">
              <w:rPr>
                <w:rFonts w:ascii="Arial Narrow" w:hAnsi="Arial Narrow" w:cs="Calibri"/>
                <w:color w:val="000000"/>
                <w:sz w:val="22"/>
                <w:szCs w:val="22"/>
              </w:rPr>
              <w:t>0 000</w:t>
            </w:r>
          </w:p>
        </w:tc>
        <w:tc>
          <w:tcPr>
            <w:tcW w:w="1166" w:type="pct"/>
            <w:vAlign w:val="center"/>
          </w:tcPr>
          <w:p w14:paraId="4F4C831A" w14:textId="77777777" w:rsidR="00C96EDF" w:rsidRPr="00BA03AF" w:rsidRDefault="00C96EDF" w:rsidP="0088752D">
            <w:pPr>
              <w:jc w:val="right"/>
              <w:rPr>
                <w:rFonts w:ascii="Arial Narrow" w:hAnsi="Arial Narrow" w:cs="Calibri"/>
                <w:color w:val="000000"/>
                <w:sz w:val="22"/>
                <w:szCs w:val="22"/>
              </w:rPr>
            </w:pPr>
          </w:p>
        </w:tc>
      </w:tr>
      <w:tr w:rsidR="00E174FE" w:rsidRPr="00BA03AF" w14:paraId="381230C3" w14:textId="77777777" w:rsidTr="00116A75">
        <w:trPr>
          <w:trHeight w:val="389"/>
        </w:trPr>
        <w:tc>
          <w:tcPr>
            <w:tcW w:w="1835" w:type="pct"/>
            <w:gridSpan w:val="2"/>
            <w:vAlign w:val="center"/>
          </w:tcPr>
          <w:p w14:paraId="6B4AE96D" w14:textId="77777777" w:rsidR="00C96EDF" w:rsidRPr="00BA03AF" w:rsidRDefault="00C96EDF" w:rsidP="0088752D">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4" w:type="pct"/>
            <w:vAlign w:val="center"/>
          </w:tcPr>
          <w:p w14:paraId="33E9FDF3" w14:textId="77777777" w:rsidR="00C96EDF" w:rsidRPr="00BA03AF" w:rsidRDefault="00C96EDF" w:rsidP="0088752D">
            <w:pPr>
              <w:jc w:val="center"/>
              <w:rPr>
                <w:rFonts w:ascii="Arial Narrow" w:hAnsi="Arial Narrow"/>
                <w:b/>
                <w:sz w:val="22"/>
                <w:szCs w:val="22"/>
              </w:rPr>
            </w:pPr>
          </w:p>
        </w:tc>
        <w:tc>
          <w:tcPr>
            <w:tcW w:w="916" w:type="pct"/>
            <w:vAlign w:val="center"/>
          </w:tcPr>
          <w:p w14:paraId="32C016CA" w14:textId="77777777" w:rsidR="00C96EDF" w:rsidRPr="00BA03AF" w:rsidRDefault="00C96EDF" w:rsidP="0088752D">
            <w:pPr>
              <w:jc w:val="center"/>
              <w:rPr>
                <w:rFonts w:ascii="Arial Narrow" w:hAnsi="Arial Narrow"/>
                <w:b/>
                <w:sz w:val="22"/>
                <w:szCs w:val="22"/>
              </w:rPr>
            </w:pPr>
          </w:p>
        </w:tc>
        <w:tc>
          <w:tcPr>
            <w:tcW w:w="749" w:type="pct"/>
            <w:vAlign w:val="center"/>
          </w:tcPr>
          <w:p w14:paraId="0E37101D" w14:textId="77777777" w:rsidR="00C96EDF" w:rsidRPr="00BA03AF" w:rsidRDefault="00C96EDF" w:rsidP="0088752D">
            <w:pPr>
              <w:jc w:val="right"/>
              <w:rPr>
                <w:rFonts w:ascii="Arial Narrow" w:hAnsi="Arial Narrow"/>
                <w:b/>
                <w:sz w:val="22"/>
                <w:szCs w:val="22"/>
              </w:rPr>
            </w:pPr>
          </w:p>
        </w:tc>
        <w:tc>
          <w:tcPr>
            <w:tcW w:w="1166" w:type="pct"/>
            <w:vAlign w:val="center"/>
          </w:tcPr>
          <w:p w14:paraId="7171DC02" w14:textId="77777777" w:rsidR="00C96EDF" w:rsidRPr="00BA03AF" w:rsidRDefault="00C96EDF" w:rsidP="0088752D">
            <w:pPr>
              <w:jc w:val="right"/>
              <w:rPr>
                <w:rFonts w:ascii="Arial Narrow" w:hAnsi="Arial Narrow"/>
                <w:b/>
                <w:sz w:val="22"/>
                <w:szCs w:val="22"/>
              </w:rPr>
            </w:pPr>
          </w:p>
        </w:tc>
      </w:tr>
    </w:tbl>
    <w:p w14:paraId="2CE58261" w14:textId="77777777" w:rsidR="00C96EDF" w:rsidRPr="00BA03AF" w:rsidRDefault="00C96EDF" w:rsidP="0088752D">
      <w:pPr>
        <w:pStyle w:val="Zkladntext3"/>
        <w:overflowPunct w:val="0"/>
        <w:autoSpaceDE w:val="0"/>
        <w:spacing w:before="240" w:after="240"/>
        <w:ind w:left="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170C20D8" w:rsidR="00C96EDF" w:rsidRPr="00BA03AF" w:rsidRDefault="00C96EDF" w:rsidP="0088752D">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9945D0">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88752D">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88752D">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88752D">
      <w:pPr>
        <w:pStyle w:val="Odsekzoznamu"/>
        <w:numPr>
          <w:ilvl w:val="0"/>
          <w:numId w:val="30"/>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88752D">
      <w:pPr>
        <w:pStyle w:val="Odsekzoznamu"/>
        <w:spacing w:after="240"/>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88752D">
      <w:pPr>
        <w:pStyle w:val="Odsekzoznamu"/>
        <w:numPr>
          <w:ilvl w:val="0"/>
          <w:numId w:val="30"/>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88752D">
      <w:pPr>
        <w:spacing w:after="240"/>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025733D0"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9945D0">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9945D0">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2EAB566E" w:rsidR="00C96EDF" w:rsidRPr="00BA03AF" w:rsidRDefault="00C96EDF" w:rsidP="0088752D">
      <w:pPr>
        <w:pStyle w:val="Odsekzoznamu"/>
        <w:numPr>
          <w:ilvl w:val="0"/>
          <w:numId w:val="31"/>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9945D0">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88752D">
      <w:pPr>
        <w:pStyle w:val="Odsekzoznamu"/>
        <w:spacing w:after="240"/>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88752D">
      <w:pPr>
        <w:pStyle w:val="Odsekzoznamu"/>
        <w:numPr>
          <w:ilvl w:val="0"/>
          <w:numId w:val="29"/>
        </w:numPr>
        <w:tabs>
          <w:tab w:val="left" w:pos="300"/>
        </w:tabs>
        <w:spacing w:before="60" w:after="240"/>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757"/>
        <w:gridCol w:w="457"/>
        <w:gridCol w:w="3185"/>
        <w:gridCol w:w="1392"/>
      </w:tblGrid>
      <w:tr w:rsidR="00EE48EF" w:rsidRPr="00E43A61" w14:paraId="06066862" w14:textId="77777777" w:rsidTr="00EE48EF">
        <w:tc>
          <w:tcPr>
            <w:tcW w:w="627" w:type="dxa"/>
            <w:shd w:val="clear" w:color="auto" w:fill="auto"/>
            <w:vAlign w:val="center"/>
          </w:tcPr>
          <w:p w14:paraId="08928F90" w14:textId="77777777" w:rsidR="00EE48EF" w:rsidRPr="00E43A61" w:rsidRDefault="00EE48EF"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P. č.</w:t>
            </w:r>
          </w:p>
        </w:tc>
        <w:tc>
          <w:tcPr>
            <w:tcW w:w="2757" w:type="dxa"/>
            <w:shd w:val="clear" w:color="auto" w:fill="auto"/>
            <w:vAlign w:val="center"/>
          </w:tcPr>
          <w:p w14:paraId="799A4DAB" w14:textId="77777777" w:rsidR="00EE48EF" w:rsidRPr="00E43A61" w:rsidRDefault="00EE48EF"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Názov</w:t>
            </w:r>
          </w:p>
        </w:tc>
        <w:tc>
          <w:tcPr>
            <w:tcW w:w="457" w:type="dxa"/>
            <w:shd w:val="clear" w:color="auto" w:fill="auto"/>
            <w:vAlign w:val="center"/>
          </w:tcPr>
          <w:p w14:paraId="2FA28877" w14:textId="77777777" w:rsidR="00EE48EF" w:rsidRPr="00E43A61" w:rsidRDefault="00EE48EF"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MJ</w:t>
            </w:r>
          </w:p>
        </w:tc>
        <w:tc>
          <w:tcPr>
            <w:tcW w:w="3185" w:type="dxa"/>
            <w:shd w:val="clear" w:color="auto" w:fill="auto"/>
            <w:vAlign w:val="center"/>
          </w:tcPr>
          <w:p w14:paraId="095A1413" w14:textId="1639A217" w:rsidR="00EE48EF" w:rsidRPr="00E43A61" w:rsidRDefault="00EE48EF"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Dodanie od účinnosti Zmluvy najneskôr</w:t>
            </w:r>
          </w:p>
        </w:tc>
        <w:tc>
          <w:tcPr>
            <w:tcW w:w="1392" w:type="dxa"/>
            <w:shd w:val="clear" w:color="auto" w:fill="auto"/>
            <w:vAlign w:val="center"/>
          </w:tcPr>
          <w:p w14:paraId="5FC0E462" w14:textId="77777777" w:rsidR="00EE48EF" w:rsidRPr="00E43A61" w:rsidRDefault="00EE48EF"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Množstvo</w:t>
            </w:r>
          </w:p>
        </w:tc>
      </w:tr>
      <w:tr w:rsidR="00D80CEC" w:rsidRPr="00E43A61" w14:paraId="37E88ED5" w14:textId="77777777" w:rsidTr="00D80CEC">
        <w:trPr>
          <w:trHeight w:val="440"/>
        </w:trPr>
        <w:tc>
          <w:tcPr>
            <w:tcW w:w="627" w:type="dxa"/>
            <w:vMerge w:val="restart"/>
            <w:shd w:val="clear" w:color="auto" w:fill="auto"/>
            <w:vAlign w:val="center"/>
          </w:tcPr>
          <w:p w14:paraId="3EDF36D7" w14:textId="77777777" w:rsidR="00D80CEC" w:rsidRPr="00E43A61" w:rsidRDefault="00D80CEC" w:rsidP="0088752D">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1.</w:t>
            </w:r>
          </w:p>
        </w:tc>
        <w:tc>
          <w:tcPr>
            <w:tcW w:w="2757" w:type="dxa"/>
            <w:vMerge w:val="restart"/>
            <w:shd w:val="clear" w:color="auto" w:fill="auto"/>
            <w:vAlign w:val="center"/>
          </w:tcPr>
          <w:p w14:paraId="1447BBA3" w14:textId="336D81EA" w:rsidR="00D80CEC" w:rsidRPr="00655042" w:rsidRDefault="00D80CEC" w:rsidP="0088752D">
            <w:pPr>
              <w:pStyle w:val="Odsekzoznamu"/>
              <w:tabs>
                <w:tab w:val="left" w:pos="300"/>
              </w:tabs>
              <w:spacing w:before="60"/>
              <w:ind w:left="0"/>
              <w:rPr>
                <w:rFonts w:ascii="Arial Narrow" w:hAnsi="Arial Narrow"/>
                <w:sz w:val="22"/>
                <w:szCs w:val="22"/>
              </w:rPr>
            </w:pPr>
            <w:r w:rsidRPr="00655042">
              <w:rPr>
                <w:rFonts w:ascii="Arial Narrow" w:hAnsi="Arial Narrow"/>
                <w:sz w:val="22"/>
                <w:szCs w:val="22"/>
              </w:rPr>
              <w:t xml:space="preserve">Jednorazové </w:t>
            </w:r>
            <w:proofErr w:type="spellStart"/>
            <w:r w:rsidR="00116A75">
              <w:rPr>
                <w:rFonts w:ascii="Arial Narrow" w:hAnsi="Arial Narrow"/>
                <w:sz w:val="22"/>
                <w:szCs w:val="22"/>
              </w:rPr>
              <w:t>nitrilové</w:t>
            </w:r>
            <w:proofErr w:type="spellEnd"/>
            <w:r w:rsidR="00116A75">
              <w:rPr>
                <w:rFonts w:ascii="Arial Narrow" w:hAnsi="Arial Narrow"/>
                <w:sz w:val="22"/>
                <w:szCs w:val="22"/>
              </w:rPr>
              <w:t xml:space="preserve"> </w:t>
            </w:r>
            <w:r w:rsidRPr="00655042">
              <w:rPr>
                <w:rFonts w:ascii="Arial Narrow" w:hAnsi="Arial Narrow"/>
                <w:sz w:val="22"/>
                <w:szCs w:val="22"/>
              </w:rPr>
              <w:t>rukavice</w:t>
            </w:r>
            <w:r w:rsidRPr="00655042">
              <w:rPr>
                <w:rFonts w:ascii="Arial Narrow" w:hAnsi="Arial Narrow"/>
                <w:sz w:val="22"/>
                <w:szCs w:val="22"/>
              </w:rPr>
              <w:br/>
              <w:t>pre všeobecné použitie</w:t>
            </w:r>
          </w:p>
        </w:tc>
        <w:tc>
          <w:tcPr>
            <w:tcW w:w="457" w:type="dxa"/>
            <w:vMerge w:val="restart"/>
            <w:shd w:val="clear" w:color="auto" w:fill="auto"/>
            <w:vAlign w:val="center"/>
          </w:tcPr>
          <w:p w14:paraId="1EF6146A" w14:textId="77777777" w:rsidR="00D80CEC" w:rsidRPr="00655042" w:rsidRDefault="00D80CEC" w:rsidP="0088752D">
            <w:pPr>
              <w:pStyle w:val="Odsekzoznamu"/>
              <w:tabs>
                <w:tab w:val="left" w:pos="300"/>
              </w:tabs>
              <w:spacing w:before="60"/>
              <w:ind w:left="0"/>
              <w:jc w:val="center"/>
              <w:rPr>
                <w:rFonts w:ascii="Arial Narrow" w:hAnsi="Arial Narrow"/>
                <w:sz w:val="22"/>
                <w:szCs w:val="22"/>
              </w:rPr>
            </w:pPr>
            <w:r w:rsidRPr="00655042">
              <w:rPr>
                <w:rFonts w:ascii="Arial Narrow" w:hAnsi="Arial Narrow"/>
                <w:sz w:val="22"/>
                <w:szCs w:val="22"/>
              </w:rPr>
              <w:t>ks</w:t>
            </w:r>
          </w:p>
        </w:tc>
        <w:tc>
          <w:tcPr>
            <w:tcW w:w="3185" w:type="dxa"/>
            <w:shd w:val="clear" w:color="auto" w:fill="auto"/>
            <w:vAlign w:val="center"/>
          </w:tcPr>
          <w:p w14:paraId="6179E2D3" w14:textId="78A0BE99" w:rsidR="00D80CEC" w:rsidRPr="00655042" w:rsidRDefault="00D80CEC" w:rsidP="00655042">
            <w:pPr>
              <w:pStyle w:val="Odsekzoznamu"/>
              <w:tabs>
                <w:tab w:val="left" w:pos="300"/>
              </w:tabs>
              <w:spacing w:before="60"/>
              <w:ind w:left="0"/>
              <w:rPr>
                <w:rFonts w:ascii="Arial Narrow" w:hAnsi="Arial Narrow"/>
                <w:sz w:val="22"/>
                <w:szCs w:val="22"/>
              </w:rPr>
            </w:pPr>
            <w:r w:rsidRPr="00655042">
              <w:rPr>
                <w:rFonts w:ascii="Arial Narrow" w:hAnsi="Arial Narrow"/>
                <w:sz w:val="22"/>
                <w:szCs w:val="22"/>
              </w:rPr>
              <w:t xml:space="preserve">do </w:t>
            </w:r>
            <w:r w:rsidR="00655042" w:rsidRPr="00655042">
              <w:rPr>
                <w:rFonts w:ascii="Arial Narrow" w:hAnsi="Arial Narrow"/>
                <w:sz w:val="22"/>
                <w:szCs w:val="22"/>
              </w:rPr>
              <w:t>20.11.2020</w:t>
            </w:r>
          </w:p>
        </w:tc>
        <w:tc>
          <w:tcPr>
            <w:tcW w:w="1392" w:type="dxa"/>
            <w:shd w:val="clear" w:color="auto" w:fill="auto"/>
            <w:vAlign w:val="center"/>
          </w:tcPr>
          <w:p w14:paraId="1BFF9AF6" w14:textId="4EB27550" w:rsidR="00D80CEC" w:rsidRPr="00655042" w:rsidRDefault="00655042" w:rsidP="0088752D">
            <w:pPr>
              <w:pStyle w:val="Odsekzoznamu"/>
              <w:tabs>
                <w:tab w:val="left" w:pos="300"/>
              </w:tabs>
              <w:spacing w:before="60"/>
              <w:ind w:left="0"/>
              <w:jc w:val="right"/>
              <w:rPr>
                <w:rFonts w:ascii="Arial Narrow" w:hAnsi="Arial Narrow"/>
                <w:sz w:val="22"/>
                <w:szCs w:val="22"/>
              </w:rPr>
            </w:pPr>
            <w:r w:rsidRPr="00655042">
              <w:rPr>
                <w:rFonts w:ascii="Arial Narrow" w:hAnsi="Arial Narrow"/>
                <w:sz w:val="22"/>
                <w:szCs w:val="22"/>
              </w:rPr>
              <w:t>100 000</w:t>
            </w:r>
          </w:p>
        </w:tc>
      </w:tr>
      <w:tr w:rsidR="00EE48EF" w:rsidRPr="00E43A61" w14:paraId="480181A5" w14:textId="77777777" w:rsidTr="00EE48EF">
        <w:tc>
          <w:tcPr>
            <w:tcW w:w="627" w:type="dxa"/>
            <w:vMerge/>
            <w:shd w:val="clear" w:color="auto" w:fill="auto"/>
            <w:vAlign w:val="center"/>
          </w:tcPr>
          <w:p w14:paraId="24D35C10" w14:textId="77777777" w:rsidR="00EE48EF" w:rsidRPr="00E43A61" w:rsidRDefault="00EE48EF" w:rsidP="0088752D">
            <w:pPr>
              <w:pStyle w:val="Odsekzoznamu"/>
              <w:tabs>
                <w:tab w:val="left" w:pos="300"/>
              </w:tabs>
              <w:spacing w:before="60"/>
              <w:ind w:left="0"/>
              <w:jc w:val="center"/>
              <w:rPr>
                <w:rFonts w:ascii="Arial Narrow" w:hAnsi="Arial Narrow"/>
                <w:sz w:val="22"/>
                <w:szCs w:val="22"/>
              </w:rPr>
            </w:pPr>
          </w:p>
        </w:tc>
        <w:tc>
          <w:tcPr>
            <w:tcW w:w="2757" w:type="dxa"/>
            <w:vMerge/>
            <w:shd w:val="clear" w:color="auto" w:fill="auto"/>
            <w:vAlign w:val="center"/>
          </w:tcPr>
          <w:p w14:paraId="5B7F9AB7" w14:textId="77777777" w:rsidR="00EE48EF" w:rsidRPr="00655042" w:rsidRDefault="00EE48EF" w:rsidP="0088752D">
            <w:pPr>
              <w:pStyle w:val="Odsekzoznamu"/>
              <w:tabs>
                <w:tab w:val="left" w:pos="300"/>
              </w:tabs>
              <w:spacing w:before="60"/>
              <w:ind w:left="0"/>
              <w:jc w:val="both"/>
              <w:rPr>
                <w:rFonts w:ascii="Arial Narrow" w:hAnsi="Arial Narrow"/>
                <w:sz w:val="22"/>
                <w:szCs w:val="22"/>
              </w:rPr>
            </w:pPr>
          </w:p>
        </w:tc>
        <w:tc>
          <w:tcPr>
            <w:tcW w:w="457" w:type="dxa"/>
            <w:vMerge/>
            <w:shd w:val="clear" w:color="auto" w:fill="auto"/>
            <w:vAlign w:val="center"/>
          </w:tcPr>
          <w:p w14:paraId="495F5491" w14:textId="77777777" w:rsidR="00EE48EF" w:rsidRPr="00655042" w:rsidRDefault="00EE48EF" w:rsidP="0088752D">
            <w:pPr>
              <w:pStyle w:val="Odsekzoznamu"/>
              <w:tabs>
                <w:tab w:val="left" w:pos="300"/>
              </w:tabs>
              <w:spacing w:before="60"/>
              <w:ind w:left="0"/>
              <w:jc w:val="center"/>
              <w:rPr>
                <w:rFonts w:ascii="Arial Narrow" w:hAnsi="Arial Narrow"/>
                <w:sz w:val="22"/>
                <w:szCs w:val="22"/>
              </w:rPr>
            </w:pPr>
          </w:p>
        </w:tc>
        <w:tc>
          <w:tcPr>
            <w:tcW w:w="3185" w:type="dxa"/>
            <w:shd w:val="clear" w:color="auto" w:fill="auto"/>
            <w:vAlign w:val="center"/>
          </w:tcPr>
          <w:p w14:paraId="693C22B4" w14:textId="4CD3068B" w:rsidR="00EE48EF" w:rsidRPr="00655042" w:rsidRDefault="00EE48EF" w:rsidP="00655042">
            <w:pPr>
              <w:pStyle w:val="Odsekzoznamu"/>
              <w:tabs>
                <w:tab w:val="left" w:pos="300"/>
              </w:tabs>
              <w:spacing w:before="60"/>
              <w:ind w:left="0"/>
              <w:rPr>
                <w:rFonts w:ascii="Arial Narrow" w:hAnsi="Arial Narrow"/>
                <w:sz w:val="22"/>
                <w:szCs w:val="22"/>
              </w:rPr>
            </w:pPr>
            <w:r w:rsidRPr="00655042">
              <w:rPr>
                <w:rFonts w:ascii="Arial Narrow" w:hAnsi="Arial Narrow"/>
                <w:sz w:val="22"/>
                <w:szCs w:val="22"/>
              </w:rPr>
              <w:t xml:space="preserve">do </w:t>
            </w:r>
            <w:r w:rsidR="00655042" w:rsidRPr="00655042">
              <w:rPr>
                <w:rFonts w:ascii="Arial Narrow" w:hAnsi="Arial Narrow"/>
                <w:sz w:val="22"/>
                <w:szCs w:val="22"/>
              </w:rPr>
              <w:t>20.12.2020</w:t>
            </w:r>
          </w:p>
        </w:tc>
        <w:tc>
          <w:tcPr>
            <w:tcW w:w="1392" w:type="dxa"/>
            <w:shd w:val="clear" w:color="auto" w:fill="auto"/>
            <w:vAlign w:val="center"/>
          </w:tcPr>
          <w:p w14:paraId="430C4009" w14:textId="3F735CFF" w:rsidR="00EE48EF" w:rsidRPr="00655042" w:rsidRDefault="00655042" w:rsidP="0088752D">
            <w:pPr>
              <w:pStyle w:val="Odsekzoznamu"/>
              <w:tabs>
                <w:tab w:val="left" w:pos="300"/>
              </w:tabs>
              <w:spacing w:before="60"/>
              <w:ind w:left="0"/>
              <w:jc w:val="right"/>
              <w:rPr>
                <w:rFonts w:ascii="Arial Narrow" w:hAnsi="Arial Narrow"/>
                <w:sz w:val="22"/>
                <w:szCs w:val="22"/>
              </w:rPr>
            </w:pPr>
            <w:r w:rsidRPr="00655042">
              <w:rPr>
                <w:rFonts w:ascii="Arial Narrow" w:hAnsi="Arial Narrow"/>
                <w:sz w:val="22"/>
                <w:szCs w:val="22"/>
              </w:rPr>
              <w:t>2 000 000</w:t>
            </w:r>
          </w:p>
        </w:tc>
      </w:tr>
      <w:tr w:rsidR="00EE48EF" w:rsidRPr="00E43A61" w14:paraId="100B2290" w14:textId="77777777" w:rsidTr="00EE48EF">
        <w:tc>
          <w:tcPr>
            <w:tcW w:w="7026" w:type="dxa"/>
            <w:gridSpan w:val="4"/>
            <w:shd w:val="clear" w:color="auto" w:fill="auto"/>
          </w:tcPr>
          <w:p w14:paraId="7CD771C0" w14:textId="77777777" w:rsidR="00EE48EF" w:rsidRPr="00655042" w:rsidRDefault="00EE48EF" w:rsidP="0088752D">
            <w:pPr>
              <w:pStyle w:val="Odsekzoznamu"/>
              <w:tabs>
                <w:tab w:val="left" w:pos="300"/>
              </w:tabs>
              <w:spacing w:before="60"/>
              <w:ind w:left="0"/>
              <w:jc w:val="both"/>
              <w:rPr>
                <w:rFonts w:ascii="Arial Narrow" w:hAnsi="Arial Narrow"/>
                <w:sz w:val="22"/>
                <w:szCs w:val="22"/>
              </w:rPr>
            </w:pPr>
            <w:r w:rsidRPr="00655042">
              <w:rPr>
                <w:rFonts w:ascii="Arial Narrow" w:hAnsi="Arial Narrow"/>
                <w:b/>
                <w:sz w:val="22"/>
                <w:szCs w:val="22"/>
              </w:rPr>
              <w:t>Spolu</w:t>
            </w:r>
          </w:p>
        </w:tc>
        <w:tc>
          <w:tcPr>
            <w:tcW w:w="1392" w:type="dxa"/>
            <w:shd w:val="clear" w:color="auto" w:fill="auto"/>
          </w:tcPr>
          <w:p w14:paraId="7033D8A5" w14:textId="342378C9" w:rsidR="00EE48EF" w:rsidRPr="00655042" w:rsidRDefault="00655042" w:rsidP="0088752D">
            <w:pPr>
              <w:pStyle w:val="Odsekzoznamu"/>
              <w:tabs>
                <w:tab w:val="left" w:pos="300"/>
              </w:tabs>
              <w:spacing w:before="60"/>
              <w:ind w:left="0"/>
              <w:jc w:val="right"/>
              <w:rPr>
                <w:rFonts w:ascii="Arial Narrow" w:hAnsi="Arial Narrow"/>
                <w:b/>
                <w:sz w:val="22"/>
                <w:szCs w:val="22"/>
              </w:rPr>
            </w:pPr>
            <w:r w:rsidRPr="00655042">
              <w:rPr>
                <w:rFonts w:ascii="Arial Narrow" w:hAnsi="Arial Narrow"/>
                <w:b/>
                <w:sz w:val="22"/>
                <w:szCs w:val="22"/>
              </w:rPr>
              <w:t>2 100 000</w:t>
            </w:r>
          </w:p>
        </w:tc>
      </w:tr>
    </w:tbl>
    <w:p w14:paraId="06027C1A" w14:textId="2A62755C" w:rsidR="00952ACA" w:rsidRPr="00BA03AF" w:rsidRDefault="00033285" w:rsidP="0088752D">
      <w:pPr>
        <w:pStyle w:val="Odsekzoznamu"/>
        <w:spacing w:before="240" w:after="240"/>
        <w:ind w:left="567"/>
        <w:jc w:val="both"/>
        <w:rPr>
          <w:rFonts w:ascii="Arial Narrow" w:eastAsia="Times" w:hAnsi="Arial Narrow"/>
          <w:sz w:val="22"/>
          <w:szCs w:val="22"/>
        </w:rPr>
      </w:pPr>
      <w:r w:rsidRPr="00BA03AF">
        <w:rPr>
          <w:rFonts w:ascii="Arial Narrow" w:eastAsia="Times" w:hAnsi="Arial Narrow"/>
          <w:sz w:val="22"/>
          <w:szCs w:val="22"/>
        </w:rPr>
        <w:t xml:space="preserve">Predávajúci berie na vedomie, že Kupujúci nemá záujem na plnení zmluvných povinností v prípade, </w:t>
      </w:r>
      <w:r w:rsidR="00EE48EF">
        <w:rPr>
          <w:rFonts w:ascii="Arial Narrow" w:eastAsia="Times" w:hAnsi="Arial Narrow"/>
          <w:sz w:val="22"/>
          <w:szCs w:val="22"/>
        </w:rPr>
        <w:br/>
      </w:r>
      <w:r w:rsidRPr="00BA03AF">
        <w:rPr>
          <w:rFonts w:ascii="Arial Narrow" w:eastAsia="Times" w:hAnsi="Arial Narrow"/>
          <w:sz w:val="22"/>
          <w:szCs w:val="22"/>
        </w:rPr>
        <w:t>ak dôjde k omeškaniu Predávajúceho s dodaním Predmetu zmluvy.</w:t>
      </w:r>
    </w:p>
    <w:p w14:paraId="536871C8" w14:textId="5B227669" w:rsidR="00952ACA" w:rsidRPr="00952ACA"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E76C6E" w:rsidRPr="00425DAE">
        <w:rPr>
          <w:rFonts w:ascii="Arial Narrow" w:eastAsia="Times" w:hAnsi="Arial Narrow"/>
          <w:sz w:val="22"/>
          <w:szCs w:val="22"/>
        </w:rPr>
        <w:t>Ľupčianka</w:t>
      </w:r>
      <w:proofErr w:type="spellEnd"/>
      <w:r w:rsidR="00E76C6E" w:rsidRPr="00425DAE">
        <w:rPr>
          <w:rFonts w:ascii="Arial Narrow" w:eastAsia="Times" w:hAnsi="Arial Narrow"/>
          <w:sz w:val="22"/>
          <w:szCs w:val="22"/>
        </w:rPr>
        <w:t xml:space="preserve">, </w:t>
      </w:r>
      <w:r w:rsidR="00E76C6E" w:rsidRPr="00425DAE">
        <w:rPr>
          <w:rStyle w:val="Zkladntext2115bodovTun"/>
          <w:rFonts w:ascii="Arial Narrow" w:eastAsia="SimSun" w:hAnsi="Arial Narrow"/>
          <w:b w:val="0"/>
          <w:sz w:val="22"/>
          <w:szCs w:val="22"/>
        </w:rPr>
        <w:t>Príboj 564, 976 13 Slovenská Ľupča</w:t>
      </w:r>
      <w:r w:rsidR="00E76C6E" w:rsidRPr="00425DAE">
        <w:rPr>
          <w:rFonts w:ascii="Arial Narrow" w:hAnsi="Arial Narrow"/>
          <w:sz w:val="22"/>
          <w:szCs w:val="22"/>
        </w:rPr>
        <w:t xml:space="preserve"> </w:t>
      </w:r>
      <w:r w:rsidRPr="00BA03AF">
        <w:rPr>
          <w:rFonts w:ascii="Arial Narrow" w:eastAsia="Times" w:hAnsi="Arial Narrow"/>
          <w:sz w:val="22"/>
          <w:szCs w:val="22"/>
        </w:rPr>
        <w:t xml:space="preserve">(ďalej len „miesto plnenia“). </w:t>
      </w:r>
    </w:p>
    <w:p w14:paraId="1CCF5FF4" w14:textId="68FEA694" w:rsidR="00C96EDF" w:rsidRPr="00BA03AF"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33443C">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88752D">
      <w:pPr>
        <w:pStyle w:val="Odsekzoznamu"/>
        <w:numPr>
          <w:ilvl w:val="0"/>
          <w:numId w:val="29"/>
        </w:numPr>
        <w:spacing w:after="240"/>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70C7BEF1" w:rsidR="008E1A83" w:rsidRPr="008F2460" w:rsidRDefault="00E754F4" w:rsidP="0088752D">
      <w:pPr>
        <w:pStyle w:val="Odsekzoznamu"/>
        <w:numPr>
          <w:ilvl w:val="0"/>
          <w:numId w:val="29"/>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D80CEC">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 xml:space="preserve">Kupujúci v priebehu 7dní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9945D0">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88752D">
      <w:pPr>
        <w:pStyle w:val="Odsekzoznamu"/>
        <w:numPr>
          <w:ilvl w:val="0"/>
          <w:numId w:val="29"/>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88752D">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88752D">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02530C54"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117ADB">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w:t>
      </w:r>
      <w:r w:rsidR="00EE3BD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88752D">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88752D">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88752D">
      <w:pPr>
        <w:autoSpaceDE w:val="0"/>
        <w:autoSpaceDN w:val="0"/>
        <w:adjustRightInd w:val="0"/>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88752D">
      <w:pPr>
        <w:autoSpaceDE w:val="0"/>
        <w:autoSpaceDN w:val="0"/>
        <w:adjustRightInd w:val="0"/>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88752D">
      <w:pPr>
        <w:autoSpaceDE w:val="0"/>
        <w:autoSpaceDN w:val="0"/>
        <w:adjustRightInd w:val="0"/>
        <w:rPr>
          <w:rFonts w:ascii="Arial Narrow" w:hAnsi="Arial Narrow"/>
          <w:b/>
          <w:bCs/>
          <w:sz w:val="22"/>
          <w:szCs w:val="22"/>
          <w:lang w:eastAsia="sk-SK"/>
        </w:rPr>
      </w:pPr>
    </w:p>
    <w:p w14:paraId="25B3108B" w14:textId="77777777" w:rsidR="00C96EDF" w:rsidRPr="00BA03AF" w:rsidRDefault="00C96EDF" w:rsidP="0088752D">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88752D">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88752D">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88752D">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88752D">
      <w:pPr>
        <w:pStyle w:val="Odsekzoznamu"/>
        <w:numPr>
          <w:ilvl w:val="1"/>
          <w:numId w:val="37"/>
        </w:numPr>
        <w:tabs>
          <w:tab w:val="left" w:pos="567"/>
        </w:tabs>
        <w:autoSpaceDE w:val="0"/>
        <w:autoSpaceDN w:val="0"/>
        <w:adjustRightInd w:val="0"/>
        <w:spacing w:after="240"/>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58AE61D" w14:textId="77777777" w:rsidR="0088752D" w:rsidRDefault="0088752D" w:rsidP="0088752D">
      <w:pPr>
        <w:pStyle w:val="Zkladntext3"/>
        <w:overflowPunct w:val="0"/>
        <w:autoSpaceDE w:val="0"/>
        <w:jc w:val="center"/>
        <w:textAlignment w:val="baseline"/>
        <w:rPr>
          <w:rFonts w:ascii="Arial Narrow" w:eastAsia="Calibri" w:hAnsi="Arial Narrow" w:cs="Times New Roman"/>
          <w:b/>
          <w:sz w:val="22"/>
          <w:szCs w:val="22"/>
          <w:lang w:eastAsia="en-US"/>
        </w:rPr>
      </w:pPr>
    </w:p>
    <w:p w14:paraId="09D1A085" w14:textId="77777777" w:rsidR="0088752D" w:rsidRDefault="0088752D" w:rsidP="0088752D">
      <w:pPr>
        <w:pStyle w:val="Zkladntext3"/>
        <w:overflowPunct w:val="0"/>
        <w:autoSpaceDE w:val="0"/>
        <w:jc w:val="center"/>
        <w:textAlignment w:val="baseline"/>
        <w:rPr>
          <w:rFonts w:ascii="Arial Narrow" w:eastAsia="Calibri" w:hAnsi="Arial Narrow" w:cs="Times New Roman"/>
          <w:b/>
          <w:sz w:val="22"/>
          <w:szCs w:val="22"/>
          <w:lang w:eastAsia="en-US"/>
        </w:rPr>
      </w:pPr>
    </w:p>
    <w:p w14:paraId="089831E7" w14:textId="0CAAA6E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88752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2FDD1410" w:rsidR="00C96EDF" w:rsidRPr="00BA03AF" w:rsidRDefault="00C96EDF" w:rsidP="0088752D">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Nebezpečenstvo škody prechádza na Kupujúceho okamihom prevzatia Tovaru a podpísaním </w:t>
      </w:r>
      <w:r w:rsidR="001D293B">
        <w:rPr>
          <w:rFonts w:ascii="Arial Narrow" w:eastAsia="Calibri" w:hAnsi="Arial Narrow" w:cs="Times New Roman"/>
          <w:sz w:val="22"/>
          <w:szCs w:val="22"/>
          <w:lang w:eastAsia="en-US"/>
        </w:rPr>
        <w:t>dodacieho listu</w:t>
      </w:r>
      <w:r w:rsidRPr="00BA03AF">
        <w:rPr>
          <w:rFonts w:ascii="Arial Narrow" w:eastAsia="Calibri" w:hAnsi="Arial Narrow" w:cs="Times New Roman"/>
          <w:sz w:val="22"/>
          <w:szCs w:val="22"/>
          <w:lang w:eastAsia="en-US"/>
        </w:rPr>
        <w:t>, pričom obe podmienky musia byť splnené kumulatívne.</w:t>
      </w:r>
    </w:p>
    <w:p w14:paraId="70AA36ED"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2D866824"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88752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88752D">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88752D">
      <w:pPr>
        <w:pStyle w:val="Odsekzoznamu"/>
        <w:numPr>
          <w:ilvl w:val="1"/>
          <w:numId w:val="3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88752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88752D">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88752D">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88752D">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88752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88752D">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1855F011" w:rsidR="00C96EDF" w:rsidRPr="00BA03AF" w:rsidRDefault="00C96EDF" w:rsidP="0088752D">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3CE31984" w:rsidR="00C96EDF" w:rsidRDefault="00C96EDF" w:rsidP="0088752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6F56B7C3" w14:textId="77777777" w:rsidR="0083270C" w:rsidRDefault="0083270C" w:rsidP="0088752D">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88752D">
      <w:pPr>
        <w:pStyle w:val="Zkladntext3"/>
        <w:numPr>
          <w:ilvl w:val="1"/>
          <w:numId w:val="35"/>
        </w:numPr>
        <w:overflowPunct w:val="0"/>
        <w:autoSpaceDE w:val="0"/>
        <w:spacing w:before="24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88752D">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88752D">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88752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88752D">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88752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88752D">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88752D">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1B11035D" w:rsidR="00C96EDF" w:rsidRPr="00BA03AF" w:rsidRDefault="00C96EDF" w:rsidP="0088752D">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88752D">
      <w:pPr>
        <w:pStyle w:val="Odsekzoznamu"/>
        <w:numPr>
          <w:ilvl w:val="1"/>
          <w:numId w:val="35"/>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88752D">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88752D">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88752D">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88752D">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88752D">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88752D">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88752D">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88752D">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88752D">
      <w:pPr>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0A013C9" w14:textId="3B1853F4"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7C9F8903" w14:textId="77777777"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6DD21177" w14:textId="13543020"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1FC6E6A3" w14:textId="3B9592C6"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p>
    <w:p w14:paraId="5E00814E" w14:textId="3328E60B"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46D6EBE" w14:textId="378EE48A"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požadované veľkosti: 8(M), 9(L), 10(XL),</w:t>
      </w:r>
    </w:p>
    <w:p w14:paraId="051D929A" w14:textId="41EA63A3" w:rsidR="00C96EDF" w:rsidRPr="00076666" w:rsidRDefault="00076666" w:rsidP="00A4291F">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948B30B" w14:textId="77777777" w:rsidR="00D42FC2" w:rsidRPr="005D40D6" w:rsidRDefault="00D42FC2" w:rsidP="00D42FC2">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D09D" w14:textId="77777777" w:rsidR="00A10996" w:rsidRDefault="00A10996" w:rsidP="002B7588">
      <w:r>
        <w:separator/>
      </w:r>
    </w:p>
  </w:endnote>
  <w:endnote w:type="continuationSeparator" w:id="0">
    <w:p w14:paraId="5B436B9E" w14:textId="77777777" w:rsidR="00A10996" w:rsidRDefault="00A1099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6C480B">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05F7E" w14:textId="77777777" w:rsidR="00A10996" w:rsidRDefault="00A10996" w:rsidP="002B7588">
      <w:r>
        <w:separator/>
      </w:r>
    </w:p>
  </w:footnote>
  <w:footnote w:type="continuationSeparator" w:id="0">
    <w:p w14:paraId="10F0E92B" w14:textId="77777777" w:rsidR="00A10996" w:rsidRDefault="00A1099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4239FE49">
          <wp:simplePos x="0" y="0"/>
          <wp:positionH relativeFrom="page">
            <wp:posOffset>180975</wp:posOffset>
          </wp:positionH>
          <wp:positionV relativeFrom="paragraph">
            <wp:posOffset>-346075</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77777777"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916F8A">
      <w:rPr>
        <w:rFonts w:ascii="Arial Narrow" w:hAnsi="Arial Narrow"/>
        <w:b/>
        <w:sz w:val="16"/>
        <w:szCs w:val="10"/>
      </w:rPr>
      <w:t>Súťažné</w:t>
    </w:r>
    <w:proofErr w:type="spellEnd"/>
    <w:r w:rsidR="00916F8A">
      <w:rPr>
        <w:rFonts w:ascii="Arial Narrow" w:hAnsi="Arial Narrow"/>
        <w:b/>
        <w:sz w:val="16"/>
        <w:szCs w:val="10"/>
      </w:rPr>
      <w:t xml:space="preserve"> </w:t>
    </w:r>
    <w:proofErr w:type="spellStart"/>
    <w:r w:rsidR="00916F8A">
      <w:rPr>
        <w:rFonts w:ascii="Arial Narrow" w:hAnsi="Arial Narrow"/>
        <w:b/>
        <w:sz w:val="16"/>
        <w:szCs w:val="10"/>
      </w:rPr>
      <w:t>podklady</w:t>
    </w:r>
    <w:proofErr w:type="spellEnd"/>
    <w:r w:rsidR="00916F8A">
      <w:rPr>
        <w:rFonts w:ascii="Arial Narrow" w:hAnsi="Arial Narrow"/>
        <w:b/>
        <w:sz w:val="16"/>
        <w:szCs w:val="10"/>
      </w:rPr>
      <w:t xml:space="preserve"> </w:t>
    </w:r>
    <w:proofErr w:type="spellStart"/>
    <w:r w:rsidR="00916F8A">
      <w:rPr>
        <w:rFonts w:ascii="Arial Narrow" w:hAnsi="Arial Narrow"/>
        <w:b/>
        <w:sz w:val="16"/>
        <w:szCs w:val="10"/>
      </w:rPr>
      <w:t>na</w:t>
    </w:r>
    <w:proofErr w:type="spellEnd"/>
    <w:r w:rsidR="00916F8A">
      <w:rPr>
        <w:rFonts w:ascii="Arial Narrow" w:hAnsi="Arial Narrow"/>
        <w:b/>
        <w:sz w:val="16"/>
        <w:szCs w:val="10"/>
      </w:rPr>
      <w:t xml:space="preserve"> </w:t>
    </w:r>
    <w:proofErr w:type="spellStart"/>
    <w:r w:rsidR="00916F8A">
      <w:rPr>
        <w:rFonts w:ascii="Arial Narrow" w:hAnsi="Arial Narrow"/>
        <w:b/>
        <w:sz w:val="16"/>
        <w:szCs w:val="10"/>
      </w:rPr>
      <w:t>nadlimitnú</w:t>
    </w:r>
    <w:proofErr w:type="spellEnd"/>
    <w:r w:rsidR="00916F8A">
      <w:rPr>
        <w:rFonts w:ascii="Arial Narrow" w:hAnsi="Arial Narrow"/>
        <w:b/>
        <w:sz w:val="16"/>
        <w:szCs w:val="10"/>
      </w:rPr>
      <w:t xml:space="preserve"> </w:t>
    </w:r>
    <w:proofErr w:type="spellStart"/>
    <w:r w:rsidR="00916F8A">
      <w:rPr>
        <w:rFonts w:ascii="Arial Narrow" w:hAnsi="Arial Narrow"/>
        <w:b/>
        <w:sz w:val="16"/>
        <w:szCs w:val="10"/>
      </w:rPr>
      <w:t>zákazku</w:t>
    </w:r>
    <w:proofErr w:type="spellEnd"/>
  </w:p>
  <w:p w14:paraId="0798EDAA" w14:textId="77777777"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916F8A">
      <w:rPr>
        <w:rFonts w:ascii="Arial Narrow" w:hAnsi="Arial Narrow"/>
        <w:b/>
        <w:sz w:val="16"/>
        <w:szCs w:val="10"/>
      </w:rPr>
      <w:t>„</w:t>
    </w:r>
    <w:proofErr w:type="spellStart"/>
    <w:r w:rsidR="00C96EDF">
      <w:rPr>
        <w:rFonts w:ascii="Arial Narrow" w:hAnsi="Arial Narrow"/>
        <w:b/>
        <w:sz w:val="16"/>
        <w:szCs w:val="10"/>
      </w:rPr>
      <w:t>Osobné</w:t>
    </w:r>
    <w:proofErr w:type="spellEnd"/>
    <w:r w:rsidR="00C96EDF">
      <w:rPr>
        <w:rFonts w:ascii="Arial Narrow" w:hAnsi="Arial Narrow"/>
        <w:b/>
        <w:sz w:val="16"/>
        <w:szCs w:val="10"/>
      </w:rPr>
      <w:t xml:space="preserve"> </w:t>
    </w:r>
    <w:proofErr w:type="spellStart"/>
    <w:r w:rsidR="00C96EDF">
      <w:rPr>
        <w:rFonts w:ascii="Arial Narrow" w:hAnsi="Arial Narrow"/>
        <w:b/>
        <w:sz w:val="16"/>
        <w:szCs w:val="10"/>
      </w:rPr>
      <w:t>ochranné</w:t>
    </w:r>
    <w:proofErr w:type="spellEnd"/>
    <w:r w:rsidR="00C96EDF">
      <w:rPr>
        <w:rFonts w:ascii="Arial Narrow" w:hAnsi="Arial Narrow"/>
        <w:b/>
        <w:sz w:val="16"/>
        <w:szCs w:val="10"/>
      </w:rPr>
      <w:t xml:space="preserve"> </w:t>
    </w:r>
    <w:proofErr w:type="spellStart"/>
    <w:r w:rsidR="00C96EDF">
      <w:rPr>
        <w:rFonts w:ascii="Arial Narrow" w:hAnsi="Arial Narrow"/>
        <w:b/>
        <w:sz w:val="16"/>
        <w:szCs w:val="10"/>
      </w:rPr>
      <w:t>pracovné</w:t>
    </w:r>
    <w:proofErr w:type="spellEnd"/>
    <w:r w:rsidR="00C96EDF">
      <w:rPr>
        <w:rFonts w:ascii="Arial Narrow" w:hAnsi="Arial Narrow"/>
        <w:b/>
        <w:sz w:val="16"/>
        <w:szCs w:val="10"/>
      </w:rPr>
      <w:t xml:space="preserve"> </w:t>
    </w:r>
    <w:proofErr w:type="spellStart"/>
    <w:r w:rsidR="00C96EDF">
      <w:rPr>
        <w:rFonts w:ascii="Arial Narrow" w:hAnsi="Arial Narrow"/>
        <w:b/>
        <w:sz w:val="16"/>
        <w:szCs w:val="10"/>
      </w:rPr>
      <w:t>pomôcky</w:t>
    </w:r>
    <w:proofErr w:type="spellEnd"/>
    <w:r w:rsidR="00C96EDF">
      <w:rPr>
        <w:rFonts w:ascii="Arial Narrow" w:hAnsi="Arial Narrow"/>
        <w:b/>
        <w:sz w:val="16"/>
        <w:szCs w:val="10"/>
      </w:rPr>
      <w:t xml:space="preserve"> COVID 19</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5"/>
  </w:num>
  <w:num w:numId="24">
    <w:abstractNumId w:val="41"/>
  </w:num>
  <w:num w:numId="25">
    <w:abstractNumId w:val="29"/>
  </w:num>
  <w:num w:numId="26">
    <w:abstractNumId w:val="33"/>
  </w:num>
  <w:num w:numId="27">
    <w:abstractNumId w:val="22"/>
  </w:num>
  <w:num w:numId="28">
    <w:abstractNumId w:val="40"/>
  </w:num>
  <w:num w:numId="29">
    <w:abstractNumId w:val="9"/>
  </w:num>
  <w:num w:numId="30">
    <w:abstractNumId w:val="34"/>
  </w:num>
  <w:num w:numId="31">
    <w:abstractNumId w:val="50"/>
  </w:num>
  <w:num w:numId="32">
    <w:abstractNumId w:val="39"/>
  </w:num>
  <w:num w:numId="33">
    <w:abstractNumId w:val="21"/>
  </w:num>
  <w:num w:numId="34">
    <w:abstractNumId w:val="16"/>
  </w:num>
  <w:num w:numId="35">
    <w:abstractNumId w:val="28"/>
  </w:num>
  <w:num w:numId="36">
    <w:abstractNumId w:val="27"/>
  </w:num>
  <w:num w:numId="37">
    <w:abstractNumId w:val="19"/>
  </w:num>
  <w:num w:numId="38">
    <w:abstractNumId w:val="47"/>
  </w:num>
  <w:num w:numId="3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76666"/>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16A75"/>
    <w:rsid w:val="00117ADB"/>
    <w:rsid w:val="001220E6"/>
    <w:rsid w:val="00130C9C"/>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293B"/>
    <w:rsid w:val="001D36F6"/>
    <w:rsid w:val="001D41E5"/>
    <w:rsid w:val="001D75B4"/>
    <w:rsid w:val="001E4E16"/>
    <w:rsid w:val="001E701F"/>
    <w:rsid w:val="001E7A42"/>
    <w:rsid w:val="001E7B69"/>
    <w:rsid w:val="001F2E40"/>
    <w:rsid w:val="001F6810"/>
    <w:rsid w:val="0020025F"/>
    <w:rsid w:val="00201DD3"/>
    <w:rsid w:val="00202E83"/>
    <w:rsid w:val="00205F0E"/>
    <w:rsid w:val="00217057"/>
    <w:rsid w:val="002227C9"/>
    <w:rsid w:val="00224F2E"/>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3C1A"/>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0167"/>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3443C"/>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3AA7"/>
    <w:rsid w:val="004F44CE"/>
    <w:rsid w:val="004F5099"/>
    <w:rsid w:val="004F69AB"/>
    <w:rsid w:val="004F6E44"/>
    <w:rsid w:val="00501684"/>
    <w:rsid w:val="005017BE"/>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3A73"/>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1314"/>
    <w:rsid w:val="00632656"/>
    <w:rsid w:val="0063273C"/>
    <w:rsid w:val="00633B2B"/>
    <w:rsid w:val="006340BE"/>
    <w:rsid w:val="0063550D"/>
    <w:rsid w:val="006359F2"/>
    <w:rsid w:val="00636B72"/>
    <w:rsid w:val="006439BB"/>
    <w:rsid w:val="006449D0"/>
    <w:rsid w:val="00646012"/>
    <w:rsid w:val="00652959"/>
    <w:rsid w:val="00654885"/>
    <w:rsid w:val="00655042"/>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480B"/>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270C"/>
    <w:rsid w:val="00835139"/>
    <w:rsid w:val="008363A1"/>
    <w:rsid w:val="00837624"/>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8752D"/>
    <w:rsid w:val="00891E14"/>
    <w:rsid w:val="008935E1"/>
    <w:rsid w:val="0089619D"/>
    <w:rsid w:val="008A1D63"/>
    <w:rsid w:val="008A3BAA"/>
    <w:rsid w:val="008A6177"/>
    <w:rsid w:val="008B1F97"/>
    <w:rsid w:val="008B249C"/>
    <w:rsid w:val="008B3478"/>
    <w:rsid w:val="008B389E"/>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871BE"/>
    <w:rsid w:val="009917C0"/>
    <w:rsid w:val="009945D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996"/>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67FA9"/>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0487B"/>
    <w:rsid w:val="00D10E01"/>
    <w:rsid w:val="00D1114D"/>
    <w:rsid w:val="00D1438B"/>
    <w:rsid w:val="00D17919"/>
    <w:rsid w:val="00D26077"/>
    <w:rsid w:val="00D3427C"/>
    <w:rsid w:val="00D408A1"/>
    <w:rsid w:val="00D41215"/>
    <w:rsid w:val="00D4184A"/>
    <w:rsid w:val="00D42FC2"/>
    <w:rsid w:val="00D44321"/>
    <w:rsid w:val="00D448A7"/>
    <w:rsid w:val="00D55105"/>
    <w:rsid w:val="00D57E74"/>
    <w:rsid w:val="00D61AC9"/>
    <w:rsid w:val="00D6527C"/>
    <w:rsid w:val="00D750B1"/>
    <w:rsid w:val="00D767EE"/>
    <w:rsid w:val="00D76C0E"/>
    <w:rsid w:val="00D77F2D"/>
    <w:rsid w:val="00D80CEC"/>
    <w:rsid w:val="00D84DBC"/>
    <w:rsid w:val="00D911B7"/>
    <w:rsid w:val="00D92FAC"/>
    <w:rsid w:val="00D957BF"/>
    <w:rsid w:val="00D96F4D"/>
    <w:rsid w:val="00D97F6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174FE"/>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76C6E"/>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3BD5"/>
    <w:rsid w:val="00EE48E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5bodovTun">
    <w:name w:val="Základný text (2) + 11;5 bodov;Tučné"/>
    <w:basedOn w:val="Predvolenpsmoodseku"/>
    <w:rsid w:val="00E76C6E"/>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B48C-A0C2-4668-B240-ABE84D74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3148</Words>
  <Characters>18789</Characters>
  <Application>Microsoft Office Word</Application>
  <DocSecurity>4</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2020-08-24T14:54:00Z</cp:lastPrinted>
  <dcterms:created xsi:type="dcterms:W3CDTF">2020-10-27T15:25:00Z</dcterms:created>
  <dcterms:modified xsi:type="dcterms:W3CDTF">2020-10-27T15:25:00Z</dcterms:modified>
</cp:coreProperties>
</file>