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7" w:rsidRPr="00810A86" w:rsidRDefault="007D69D7" w:rsidP="007D69D7">
      <w:pPr>
        <w:jc w:val="both"/>
        <w:rPr>
          <w:b/>
          <w:snapToGrid w:val="0"/>
        </w:rPr>
      </w:pPr>
      <w:r w:rsidRPr="00810A86">
        <w:rPr>
          <w:b/>
          <w:snapToGrid w:val="0"/>
        </w:rPr>
        <w:t>OPIS PREDMETU ZÁKAZKY</w:t>
      </w:r>
    </w:p>
    <w:p w:rsidR="007D69D7" w:rsidRDefault="007D69D7" w:rsidP="007D69D7">
      <w:pPr>
        <w:jc w:val="both"/>
        <w:rPr>
          <w:b/>
          <w:snapToGrid w:val="0"/>
          <w:sz w:val="22"/>
          <w:szCs w:val="22"/>
        </w:rPr>
      </w:pPr>
    </w:p>
    <w:p w:rsidR="007D69D7" w:rsidRPr="00FE41D7" w:rsidRDefault="007D69D7" w:rsidP="000204C2">
      <w:pPr>
        <w:spacing w:after="120"/>
        <w:jc w:val="both"/>
        <w:rPr>
          <w:b/>
          <w:snapToGrid w:val="0"/>
          <w:sz w:val="22"/>
          <w:szCs w:val="22"/>
        </w:rPr>
      </w:pPr>
      <w:r w:rsidRPr="00FE41D7">
        <w:rPr>
          <w:b/>
          <w:snapToGrid w:val="0"/>
          <w:sz w:val="22"/>
          <w:szCs w:val="22"/>
        </w:rPr>
        <w:t>Predmet zákazky: Ultrazvukové sonografické prístroje – Projekt</w:t>
      </w:r>
    </w:p>
    <w:p w:rsidR="00C952A2" w:rsidRPr="00FE41D7" w:rsidRDefault="00C952A2" w:rsidP="00CA1A55">
      <w:pPr>
        <w:jc w:val="both"/>
        <w:rPr>
          <w:b/>
          <w:sz w:val="22"/>
        </w:rPr>
      </w:pPr>
      <w:r w:rsidRPr="00FE41D7">
        <w:rPr>
          <w:snapToGrid w:val="0"/>
          <w:sz w:val="22"/>
        </w:rPr>
        <w:t>Predmetom zákazky sú:</w:t>
      </w:r>
      <w:r w:rsidRPr="00FE41D7">
        <w:rPr>
          <w:b/>
          <w:snapToGrid w:val="0"/>
          <w:sz w:val="22"/>
        </w:rPr>
        <w:t xml:space="preserve"> </w:t>
      </w:r>
      <w:r w:rsidRPr="00FE41D7">
        <w:rPr>
          <w:b/>
          <w:sz w:val="22"/>
        </w:rPr>
        <w:t xml:space="preserve">Ultrazvukové sonografické prístroje vrátane súvisiacich služieb </w:t>
      </w:r>
      <w:r w:rsidRPr="00FE41D7">
        <w:rPr>
          <w:sz w:val="22"/>
        </w:rPr>
        <w:t xml:space="preserve">pre potreby Fakultnej nemocnice s poliklinikou F.D. </w:t>
      </w:r>
      <w:proofErr w:type="spellStart"/>
      <w:r w:rsidRPr="00FE41D7">
        <w:rPr>
          <w:sz w:val="22"/>
        </w:rPr>
        <w:t>Roosevelta</w:t>
      </w:r>
      <w:proofErr w:type="spellEnd"/>
      <w:r w:rsidRPr="00FE41D7">
        <w:rPr>
          <w:sz w:val="22"/>
        </w:rPr>
        <w:t xml:space="preserve">  Banská Bystrica</w:t>
      </w:r>
      <w:r w:rsidRPr="00FE41D7">
        <w:rPr>
          <w:snapToGrid w:val="0"/>
          <w:sz w:val="22"/>
        </w:rPr>
        <w:t xml:space="preserve">, ako súčasť projektu: </w:t>
      </w:r>
      <w:r w:rsidRPr="00FE41D7">
        <w:rPr>
          <w:b/>
          <w:sz w:val="22"/>
        </w:rPr>
        <w:t xml:space="preserve">„Vybavenie </w:t>
      </w:r>
      <w:proofErr w:type="spellStart"/>
      <w:r w:rsidRPr="00FE41D7">
        <w:rPr>
          <w:b/>
          <w:sz w:val="22"/>
        </w:rPr>
        <w:t>FNsPBB</w:t>
      </w:r>
      <w:proofErr w:type="spellEnd"/>
      <w:r w:rsidRPr="00FE41D7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7D69D7" w:rsidRDefault="007D69D7" w:rsidP="00CA1A55">
      <w:pPr>
        <w:jc w:val="both"/>
        <w:rPr>
          <w:b/>
          <w:snapToGrid w:val="0"/>
          <w:sz w:val="22"/>
          <w:szCs w:val="22"/>
        </w:rPr>
      </w:pPr>
    </w:p>
    <w:p w:rsidR="00810A86" w:rsidRDefault="00810A86" w:rsidP="00CA1A55">
      <w:pPr>
        <w:jc w:val="both"/>
        <w:rPr>
          <w:b/>
          <w:snapToGrid w:val="0"/>
          <w:sz w:val="22"/>
          <w:szCs w:val="22"/>
        </w:rPr>
      </w:pPr>
    </w:p>
    <w:p w:rsidR="00CA1A55" w:rsidRPr="00DD5121" w:rsidRDefault="00CA1A55" w:rsidP="00CA1A55">
      <w:pPr>
        <w:pStyle w:val="Odsekzoznamu"/>
        <w:shd w:val="clear" w:color="auto" w:fill="FFFFFF"/>
        <w:ind w:left="0"/>
        <w:rPr>
          <w:b/>
          <w:bCs/>
          <w:sz w:val="22"/>
          <w:szCs w:val="22"/>
        </w:rPr>
      </w:pPr>
      <w:r w:rsidRPr="00DD5121">
        <w:rPr>
          <w:b/>
          <w:bCs/>
          <w:sz w:val="22"/>
          <w:szCs w:val="22"/>
        </w:rPr>
        <w:t xml:space="preserve">Časť č.2: </w:t>
      </w:r>
    </w:p>
    <w:p w:rsidR="00CA1A55" w:rsidRPr="00827345" w:rsidRDefault="00CA1A55" w:rsidP="00CA1A55">
      <w:pPr>
        <w:tabs>
          <w:tab w:val="left" w:pos="851"/>
        </w:tabs>
        <w:autoSpaceDE w:val="0"/>
        <w:autoSpaceDN w:val="0"/>
        <w:jc w:val="both"/>
        <w:rPr>
          <w:color w:val="FF0000"/>
        </w:rPr>
      </w:pPr>
      <w:r>
        <w:rPr>
          <w:b/>
          <w:sz w:val="22"/>
        </w:rPr>
        <w:t>USG prístroje v počte 10</w:t>
      </w:r>
      <w:r w:rsidRPr="004C14DC">
        <w:rPr>
          <w:b/>
          <w:sz w:val="22"/>
        </w:rPr>
        <w:t xml:space="preserve"> </w:t>
      </w:r>
      <w:r w:rsidRPr="00714F0D">
        <w:rPr>
          <w:b/>
          <w:sz w:val="22"/>
        </w:rPr>
        <w:t xml:space="preserve">ks vrátane súvisiacich služieb </w:t>
      </w:r>
      <w:r w:rsidRPr="00714F0D">
        <w:rPr>
          <w:sz w:val="22"/>
        </w:rPr>
        <w:t xml:space="preserve">pre lôžkové oddelenia a ambulancie Fakultnej nemocnice s poliklinikou F.D. </w:t>
      </w:r>
      <w:proofErr w:type="spellStart"/>
      <w:r w:rsidRPr="00714F0D">
        <w:rPr>
          <w:sz w:val="22"/>
        </w:rPr>
        <w:t>Roosevelta</w:t>
      </w:r>
      <w:proofErr w:type="spellEnd"/>
      <w:r w:rsidRPr="00714F0D">
        <w:rPr>
          <w:sz w:val="22"/>
        </w:rPr>
        <w:t xml:space="preserve">  Banská Bystrica</w:t>
      </w:r>
      <w:r>
        <w:rPr>
          <w:sz w:val="22"/>
        </w:rPr>
        <w:t>.</w:t>
      </w:r>
    </w:p>
    <w:p w:rsidR="00CA1A55" w:rsidRDefault="00CA1A55" w:rsidP="00CA1A55">
      <w:pPr>
        <w:pStyle w:val="Default"/>
        <w:jc w:val="both"/>
        <w:rPr>
          <w:b/>
          <w:sz w:val="22"/>
          <w:szCs w:val="2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CA1A55" w:rsidRP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12"/>
          <w:szCs w:val="12"/>
        </w:rPr>
      </w:pPr>
    </w:p>
    <w:p w:rsidR="00CA1A55" w:rsidRDefault="00CA1A55" w:rsidP="00CA1A5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CA1A55" w:rsidRPr="00AE3AAA" w:rsidRDefault="00245C1B" w:rsidP="00CA1A55">
      <w:pPr>
        <w:spacing w:before="120"/>
        <w:jc w:val="both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CA1A55" w:rsidRPr="00AE3AAA" w:rsidRDefault="00CA1A55" w:rsidP="00CA1A55">
      <w:pPr>
        <w:pStyle w:val="tl1"/>
        <w:numPr>
          <w:ilvl w:val="0"/>
          <w:numId w:val="1"/>
        </w:numPr>
        <w:tabs>
          <w:tab w:val="clear" w:pos="720"/>
          <w:tab w:val="left" w:pos="993"/>
        </w:tabs>
        <w:ind w:left="284" w:right="0" w:hanging="284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CA1A55" w:rsidRPr="00CA1A55" w:rsidRDefault="00CA1A55" w:rsidP="00CA1A55">
      <w:pPr>
        <w:ind w:left="360"/>
        <w:jc w:val="both"/>
        <w:rPr>
          <w:b/>
          <w:snapToGrid w:val="0"/>
          <w:sz w:val="12"/>
          <w:szCs w:val="12"/>
        </w:rPr>
      </w:pP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096C08" w:rsidRDefault="00CA1A55" w:rsidP="00CA1A55">
      <w:pPr>
        <w:pStyle w:val="Bezriadkovania"/>
        <w:jc w:val="both"/>
        <w:rPr>
          <w:rFonts w:ascii="Times New Roman" w:hAnsi="Times New Roman"/>
        </w:rPr>
      </w:pPr>
      <w:r w:rsidRPr="003D7385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CA1A55" w:rsidRPr="003D7385" w:rsidRDefault="00CA1A55" w:rsidP="00CA1A55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3D7385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CA1A55" w:rsidRPr="00CA1A55" w:rsidRDefault="00CA1A55" w:rsidP="00CA1A55">
      <w:pPr>
        <w:spacing w:line="276" w:lineRule="auto"/>
        <w:jc w:val="both"/>
        <w:rPr>
          <w:b/>
          <w:sz w:val="12"/>
          <w:szCs w:val="12"/>
        </w:rPr>
      </w:pPr>
      <w:r w:rsidRPr="00CA1A55">
        <w:rPr>
          <w:b/>
          <w:sz w:val="12"/>
          <w:szCs w:val="12"/>
        </w:rPr>
        <w:t xml:space="preserve"> </w:t>
      </w:r>
    </w:p>
    <w:p w:rsidR="007D69D7" w:rsidRPr="00506653" w:rsidRDefault="007D69D7" w:rsidP="00CA1A55">
      <w:pPr>
        <w:spacing w:after="120" w:line="276" w:lineRule="auto"/>
        <w:jc w:val="both"/>
        <w:rPr>
          <w:b/>
          <w:snapToGrid w:val="0"/>
        </w:rPr>
      </w:pPr>
      <w:r w:rsidRPr="00506653">
        <w:rPr>
          <w:b/>
          <w:snapToGrid w:val="0"/>
          <w:sz w:val="22"/>
        </w:rPr>
        <w:t>Požadovaná technická a funkčná špecifikácia: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CA1A55" w:rsidRPr="0084446C" w:rsidTr="00A61C0D">
        <w:trPr>
          <w:trHeight w:val="497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snapToGrid w:val="0"/>
              </w:rPr>
            </w:pPr>
            <w:r w:rsidRPr="00714F0D">
              <w:rPr>
                <w:b/>
                <w:sz w:val="22"/>
              </w:rPr>
              <w:t>časť č. 2: USG prístroje v počte 10 ks vrátane súvisiacich služieb</w:t>
            </w:r>
            <w:r w:rsidRPr="00714F0D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714F0D">
              <w:rPr>
                <w:sz w:val="22"/>
              </w:rPr>
              <w:t>Roosevelta</w:t>
            </w:r>
            <w:proofErr w:type="spellEnd"/>
            <w:r w:rsidRPr="00714F0D">
              <w:rPr>
                <w:sz w:val="22"/>
              </w:rPr>
              <w:t xml:space="preserve">  Banská Bystrica</w:t>
            </w:r>
          </w:p>
        </w:tc>
      </w:tr>
      <w:tr w:rsidR="00CA1A55" w:rsidRPr="0084446C" w:rsidTr="00A61C0D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CA1A55" w:rsidRPr="00FD7A6B" w:rsidRDefault="00CA1A55" w:rsidP="00A61C0D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CA1A55" w:rsidRPr="00714F0D" w:rsidRDefault="00CA1A55" w:rsidP="00A61C0D">
            <w:pPr>
              <w:rPr>
                <w:b/>
              </w:rPr>
            </w:pPr>
            <w:r w:rsidRPr="00714F0D">
              <w:rPr>
                <w:b/>
                <w:sz w:val="22"/>
              </w:rPr>
              <w:t xml:space="preserve">USG prístroje v počte 10 ks </w:t>
            </w:r>
          </w:p>
          <w:p w:rsidR="00CA1A55" w:rsidRPr="00714F0D" w:rsidRDefault="00CA1A55" w:rsidP="00A61C0D">
            <w:pPr>
              <w:rPr>
                <w:b/>
                <w:bCs/>
              </w:rPr>
            </w:pPr>
            <w:r w:rsidRPr="00714F0D">
              <w:rPr>
                <w:b/>
                <w:sz w:val="22"/>
              </w:rPr>
              <w:t>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CA1A55" w:rsidRPr="0084446C" w:rsidRDefault="00CA1A55" w:rsidP="00A61C0D">
            <w:pPr>
              <w:jc w:val="center"/>
              <w:rPr>
                <w:b/>
                <w:bCs/>
              </w:rPr>
            </w:pPr>
            <w:r w:rsidRPr="0084446C"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A1A55" w:rsidRPr="00A70335" w:rsidRDefault="00CA1A55" w:rsidP="00A61C0D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64629A" w:rsidRDefault="00CA1A55" w:rsidP="00A61C0D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lastRenderedPageBreak/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CA1A55" w:rsidRPr="002242AD" w:rsidRDefault="00CA1A55" w:rsidP="00A61C0D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A1A55" w:rsidRPr="000921ED" w:rsidRDefault="00CA1A55" w:rsidP="00A61C0D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b/>
                <w:bCs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prístroja</w:t>
            </w: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Uhlopriečka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21"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205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Snímková frekvencia na 2D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min. 498 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1,7 až 16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300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Interný HDD s kapacitou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500 GB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Ovládanie pomocou </w:t>
            </w:r>
            <w:proofErr w:type="spellStart"/>
            <w:r w:rsidRPr="00C52EF1">
              <w:rPr>
                <w:sz w:val="22"/>
              </w:rPr>
              <w:t>trackballu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Ovládanie prostredníctvom pomocného dotykového displeja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</w:p>
        </w:tc>
      </w:tr>
      <w:tr w:rsidR="00CA1A55" w:rsidRPr="003637A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USB porty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3637AC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1.10.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roofErr w:type="spellStart"/>
            <w:r w:rsidRPr="00C52EF1">
              <w:rPr>
                <w:sz w:val="22"/>
              </w:rPr>
              <w:t>Ethernetový</w:t>
            </w:r>
            <w:proofErr w:type="spellEnd"/>
            <w:r w:rsidRPr="00C52EF1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Výškovo nastaviteľný ovládací panel v rozsahu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81398">
            <w:r w:rsidRPr="00C52EF1">
              <w:rPr>
                <w:sz w:val="22"/>
              </w:rPr>
              <w:t>min</w:t>
            </w:r>
            <w:r w:rsidRPr="00391624">
              <w:rPr>
                <w:sz w:val="22"/>
              </w:rPr>
              <w:t>. 2</w:t>
            </w:r>
            <w:r w:rsidR="00A81398" w:rsidRPr="00391624">
              <w:rPr>
                <w:sz w:val="22"/>
              </w:rPr>
              <w:t>0</w:t>
            </w:r>
            <w:r w:rsidRPr="00391624">
              <w:rPr>
                <w:sz w:val="22"/>
              </w:rPr>
              <w:t xml:space="preserve"> cm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120C6C" w:rsidRDefault="00CA1A55" w:rsidP="00A61C0D">
            <w:r w:rsidRPr="00120C6C">
              <w:rPr>
                <w:sz w:val="22"/>
              </w:rPr>
              <w:t>1.13.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Počet portov pre zapojenie sond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D1492" w:rsidRDefault="00CA1A55" w:rsidP="00A61C0D">
            <w:r w:rsidRPr="009D1492">
              <w:rPr>
                <w:sz w:val="22"/>
              </w:rPr>
              <w:t>1.14.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 xml:space="preserve">Súčasťou prístroja je čiernobiela </w:t>
            </w:r>
            <w:proofErr w:type="spellStart"/>
            <w:r w:rsidRPr="00C52EF1">
              <w:rPr>
                <w:sz w:val="22"/>
              </w:rPr>
              <w:t>termotlačiareň</w:t>
            </w:r>
            <w:proofErr w:type="spellEnd"/>
            <w:r w:rsidRPr="00C52EF1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B6614B" w:rsidRDefault="00CA1A55" w:rsidP="00A61C0D">
            <w:r w:rsidRPr="00B6614B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Súčasťou prístroja je schopnosť prevádzky na vstavanú batériu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B6614B" w:rsidRDefault="00CA1A55" w:rsidP="00A61C0D">
            <w:r w:rsidRPr="00B6614B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52EF1" w:rsidRDefault="00CA1A55" w:rsidP="00A61C0D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Súčasťou prístroja je batéria s možnosťou prevádzky po dobu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391624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min. </w:t>
            </w:r>
            <w:r w:rsidR="00391624" w:rsidRPr="00391624">
              <w:rPr>
                <w:sz w:val="22"/>
                <w:highlight w:val="yellow"/>
              </w:rPr>
              <w:t>30</w:t>
            </w:r>
            <w:r w:rsidRPr="00C52EF1">
              <w:rPr>
                <w:sz w:val="22"/>
              </w:rPr>
              <w:t xml:space="preserve">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E07335" w:rsidRDefault="00CA1A55" w:rsidP="00A61C0D">
            <w:r w:rsidRPr="00E07335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E07335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CA1A55" w:rsidRPr="00FD7A6B" w:rsidRDefault="00CA1A55" w:rsidP="00A61C0D">
            <w:r w:rsidRPr="00FD7A6B">
              <w:rPr>
                <w:sz w:val="22"/>
              </w:rPr>
              <w:t> 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000000" w:fill="FFFFFF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000000" w:fill="FFFFFF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B-mód</w:t>
            </w:r>
            <w:proofErr w:type="spellEnd"/>
            <w:r w:rsidRPr="00F038F7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M-mód</w:t>
            </w:r>
            <w:proofErr w:type="spellEnd"/>
            <w:r w:rsidRPr="00F038F7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57056F" w:rsidTr="00A61C0D">
        <w:trPr>
          <w:trHeight w:val="301"/>
        </w:trPr>
        <w:tc>
          <w:tcPr>
            <w:tcW w:w="855" w:type="dxa"/>
          </w:tcPr>
          <w:p w:rsidR="00CA1A55" w:rsidRPr="003637AC" w:rsidRDefault="00CA1A55" w:rsidP="00A61C0D">
            <w:r w:rsidRPr="003637A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3637AC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 xml:space="preserve">Anatomický </w:t>
            </w:r>
            <w:proofErr w:type="spellStart"/>
            <w:r w:rsidRPr="003637AC">
              <w:rPr>
                <w:sz w:val="22"/>
              </w:rPr>
              <w:t>M-mód</w:t>
            </w:r>
            <w:proofErr w:type="spellEnd"/>
            <w:r w:rsidRPr="003637AC">
              <w:rPr>
                <w:sz w:val="22"/>
              </w:rPr>
              <w:t xml:space="preserve"> s rekonštrukciu po zmrazení obrazu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3637AC" w:rsidRDefault="00CA1A55" w:rsidP="00A61C0D">
            <w:r w:rsidRPr="003637A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57056F" w:rsidRDefault="00CA1A55" w:rsidP="00A61C0D">
            <w:pPr>
              <w:rPr>
                <w:color w:val="00B050"/>
                <w:highlight w:val="cyan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Farebné mapovanie prietokov s </w:t>
            </w:r>
            <w:proofErr w:type="spellStart"/>
            <w:r w:rsidRPr="0096144C">
              <w:rPr>
                <w:sz w:val="22"/>
              </w:rPr>
              <w:t>pulznou</w:t>
            </w:r>
            <w:proofErr w:type="spellEnd"/>
            <w:r w:rsidRPr="0096144C">
              <w:rPr>
                <w:sz w:val="22"/>
              </w:rPr>
              <w:t xml:space="preserve"> opakovacou frekvenciou 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PW/CW </w:t>
            </w:r>
            <w:proofErr w:type="spellStart"/>
            <w:r w:rsidRPr="0096144C">
              <w:rPr>
                <w:sz w:val="22"/>
              </w:rPr>
              <w:t>doppler</w:t>
            </w:r>
            <w:proofErr w:type="spellEnd"/>
            <w:r w:rsidRPr="0096144C">
              <w:rPr>
                <w:sz w:val="22"/>
              </w:rPr>
              <w:t xml:space="preserve"> s automatickou  optimalizáciou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Pulzný</w:t>
            </w:r>
            <w:proofErr w:type="spellEnd"/>
            <w:r w:rsidRPr="00F038F7">
              <w:rPr>
                <w:sz w:val="22"/>
              </w:rPr>
              <w:t xml:space="preserve"> tkanivový </w:t>
            </w:r>
            <w:proofErr w:type="spellStart"/>
            <w:r w:rsidRPr="00F038F7">
              <w:rPr>
                <w:sz w:val="22"/>
              </w:rPr>
              <w:t>doppler</w:t>
            </w:r>
            <w:proofErr w:type="spellEnd"/>
            <w:r w:rsidRPr="00F038F7">
              <w:rPr>
                <w:sz w:val="22"/>
              </w:rPr>
              <w:t xml:space="preserve"> (TDI)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Zoom</w:t>
            </w:r>
            <w:proofErr w:type="spellEnd"/>
            <w:r w:rsidRPr="00F038F7">
              <w:rPr>
                <w:sz w:val="22"/>
              </w:rPr>
              <w:t xml:space="preserve"> na živom i na zmrazenom obraze a HD </w:t>
            </w:r>
            <w:proofErr w:type="spellStart"/>
            <w:r w:rsidRPr="00F038F7">
              <w:rPr>
                <w:sz w:val="22"/>
              </w:rPr>
              <w:t>zoom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0000"/>
              </w:rPr>
            </w:pPr>
          </w:p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.10.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 xml:space="preserve">Automatické trasovanie </w:t>
            </w:r>
            <w:proofErr w:type="spellStart"/>
            <w:r w:rsidRPr="00D26319">
              <w:rPr>
                <w:sz w:val="22"/>
              </w:rPr>
              <w:t>dopplerovskej</w:t>
            </w:r>
            <w:proofErr w:type="spellEnd"/>
            <w:r w:rsidRPr="00D26319">
              <w:rPr>
                <w:sz w:val="22"/>
              </w:rPr>
              <w:t xml:space="preserve"> krivky v reálnom čase s výpočtom PI a RI indexov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D26319" w:rsidRDefault="00CA1A55" w:rsidP="00A61C0D">
            <w:r w:rsidRPr="00D26319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.11.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Dual</w:t>
            </w:r>
            <w:proofErr w:type="spellEnd"/>
            <w:r w:rsidRPr="00F038F7">
              <w:rPr>
                <w:sz w:val="22"/>
              </w:rPr>
              <w:t xml:space="preserve"> </w:t>
            </w:r>
            <w:proofErr w:type="spellStart"/>
            <w:r w:rsidRPr="00F038F7">
              <w:rPr>
                <w:sz w:val="22"/>
              </w:rPr>
              <w:t>Live</w:t>
            </w:r>
            <w:proofErr w:type="spellEnd"/>
            <w:r w:rsidRPr="00F038F7">
              <w:rPr>
                <w:sz w:val="22"/>
              </w:rPr>
              <w:t xml:space="preserve"> zobrazovací mód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.12.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.13.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F038F7" w:rsidRDefault="00CA1A55" w:rsidP="00A61C0D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.14.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CA1A55" w:rsidRPr="00F038F7" w:rsidRDefault="00CA1A55" w:rsidP="00A61C0D">
            <w:proofErr w:type="spellStart"/>
            <w:r w:rsidRPr="00F038F7">
              <w:rPr>
                <w:sz w:val="22"/>
              </w:rPr>
              <w:t>Trapezoidný</w:t>
            </w:r>
            <w:proofErr w:type="spellEnd"/>
            <w:r w:rsidRPr="00F038F7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CA1A55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B6614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B6614B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CA1A55" w:rsidRPr="00FD7A6B" w:rsidRDefault="00CA1A55" w:rsidP="00A61C0D">
            <w:pPr>
              <w:rPr>
                <w:b/>
                <w:bCs/>
                <w:color w:val="00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lastRenderedPageBreak/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pPr>
              <w:rPr>
                <w:color w:val="000000"/>
              </w:rPr>
            </w:pPr>
            <w:r w:rsidRPr="00F038F7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F038F7">
              <w:rPr>
                <w:color w:val="000000"/>
                <w:sz w:val="22"/>
              </w:rPr>
              <w:t>Simpson</w:t>
            </w:r>
            <w:proofErr w:type="spellEnd"/>
            <w:r w:rsidRPr="00F038F7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automatické meranie IMT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automatický výpočet </w:t>
            </w:r>
            <w:proofErr w:type="spellStart"/>
            <w:r w:rsidRPr="0096144C">
              <w:rPr>
                <w:color w:val="000000"/>
                <w:sz w:val="22"/>
              </w:rPr>
              <w:t>ejekčnej</w:t>
            </w:r>
            <w:proofErr w:type="spellEnd"/>
            <w:r w:rsidRPr="0096144C">
              <w:rPr>
                <w:color w:val="000000"/>
                <w:sz w:val="22"/>
              </w:rPr>
              <w:t xml:space="preserve"> frakcie založený na 2D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8.4</w:t>
            </w:r>
            <w:r w:rsidRPr="0096144C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Export obrázkov a slučiek vo formáte *.</w:t>
            </w:r>
            <w:proofErr w:type="spellStart"/>
            <w:r w:rsidRPr="0096144C">
              <w:rPr>
                <w:sz w:val="22"/>
              </w:rPr>
              <w:t>jpg</w:t>
            </w:r>
            <w:proofErr w:type="spellEnd"/>
            <w:r w:rsidRPr="0096144C">
              <w:rPr>
                <w:sz w:val="22"/>
              </w:rPr>
              <w:t xml:space="preserve"> </w:t>
            </w:r>
            <w:proofErr w:type="spellStart"/>
            <w:r w:rsidRPr="0096144C">
              <w:rPr>
                <w:sz w:val="22"/>
              </w:rPr>
              <w:t>alebo*jpeg</w:t>
            </w:r>
            <w:proofErr w:type="spellEnd"/>
            <w:r w:rsidRPr="0096144C">
              <w:rPr>
                <w:sz w:val="22"/>
              </w:rPr>
              <w:t xml:space="preserve"> alebo *</w:t>
            </w:r>
            <w:proofErr w:type="spellStart"/>
            <w:r w:rsidRPr="0096144C">
              <w:rPr>
                <w:sz w:val="22"/>
              </w:rPr>
              <w:t>bmp</w:t>
            </w:r>
            <w:proofErr w:type="spellEnd"/>
            <w:r w:rsidRPr="0096144C">
              <w:rPr>
                <w:sz w:val="22"/>
              </w:rPr>
              <w:t xml:space="preserve"> a *.</w:t>
            </w:r>
            <w:proofErr w:type="spellStart"/>
            <w:r w:rsidRPr="0096144C">
              <w:rPr>
                <w:sz w:val="22"/>
              </w:rPr>
              <w:t>avi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CA1A55" w:rsidRPr="0096144C" w:rsidRDefault="00CA1A55" w:rsidP="00A61C0D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96144C" w:rsidRDefault="00CA1A55" w:rsidP="00A61C0D">
            <w:pPr>
              <w:rPr>
                <w:color w:val="FF0000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5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Programovateľné kalkulácie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6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Užívateľsky jednoducho </w:t>
            </w:r>
            <w:proofErr w:type="spellStart"/>
            <w:r w:rsidRPr="00F038F7">
              <w:rPr>
                <w:sz w:val="22"/>
              </w:rPr>
              <w:t>vytvárateľné</w:t>
            </w:r>
            <w:proofErr w:type="spellEnd"/>
            <w:r w:rsidRPr="00F038F7">
              <w:rPr>
                <w:sz w:val="22"/>
              </w:rPr>
              <w:t xml:space="preserve"> a modifikovateľné prednastavenia (</w:t>
            </w:r>
            <w:proofErr w:type="spellStart"/>
            <w:r w:rsidRPr="00F038F7">
              <w:rPr>
                <w:sz w:val="22"/>
              </w:rPr>
              <w:t>presety</w:t>
            </w:r>
            <w:proofErr w:type="spellEnd"/>
            <w:r w:rsidRPr="00F038F7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7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A302DA" w:rsidTr="00A61C0D">
        <w:trPr>
          <w:trHeight w:val="301"/>
        </w:trPr>
        <w:tc>
          <w:tcPr>
            <w:tcW w:w="855" w:type="dxa"/>
          </w:tcPr>
          <w:p w:rsidR="00CA1A55" w:rsidRPr="00F038F7" w:rsidRDefault="00CA1A55" w:rsidP="00A61C0D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 xml:space="preserve">Technológia umožňujúca 2D TEE </w:t>
            </w:r>
            <w:proofErr w:type="spellStart"/>
            <w:r w:rsidRPr="00F038F7">
              <w:rPr>
                <w:sz w:val="22"/>
              </w:rPr>
              <w:t>kardio</w:t>
            </w:r>
            <w:proofErr w:type="spellEnd"/>
            <w:r w:rsidRPr="00F038F7">
              <w:rPr>
                <w:sz w:val="22"/>
              </w:rPr>
              <w:t xml:space="preserve"> vyšetrenie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A302DA" w:rsidRDefault="00CA1A55" w:rsidP="00A61C0D">
            <w:pPr>
              <w:rPr>
                <w:color w:val="FF0000"/>
                <w:highlight w:val="green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auto"/>
          </w:tcPr>
          <w:p w:rsidR="00CA1A55" w:rsidRPr="004520AD" w:rsidRDefault="00CA1A55" w:rsidP="00A61C0D">
            <w:pPr>
              <w:rPr>
                <w:bCs/>
                <w:color w:val="000000"/>
              </w:rPr>
            </w:pPr>
            <w:r w:rsidRPr="004520AD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4520AD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9.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CA1A55" w:rsidRPr="004520AD" w:rsidRDefault="00CA1A55" w:rsidP="00A61C0D">
            <w:r w:rsidRPr="004520AD">
              <w:rPr>
                <w:sz w:val="22"/>
              </w:rPr>
              <w:t xml:space="preserve">Možnosť pripojiť </w:t>
            </w:r>
            <w:proofErr w:type="spellStart"/>
            <w:r w:rsidRPr="004520AD">
              <w:rPr>
                <w:sz w:val="22"/>
              </w:rPr>
              <w:t>ekg</w:t>
            </w:r>
            <w:proofErr w:type="spellEnd"/>
            <w:r w:rsidRPr="004520AD">
              <w:rPr>
                <w:sz w:val="22"/>
              </w:rPr>
              <w:t xml:space="preserve"> modul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4520A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506451" w:rsidTr="00A61C0D">
        <w:trPr>
          <w:trHeight w:val="301"/>
        </w:trPr>
        <w:tc>
          <w:tcPr>
            <w:tcW w:w="855" w:type="dxa"/>
            <w:shd w:val="clear" w:color="auto" w:fill="92D050"/>
          </w:tcPr>
          <w:p w:rsidR="00CA1A55" w:rsidRPr="0030682B" w:rsidRDefault="00CA1A55" w:rsidP="00A61C0D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9</w:t>
            </w:r>
            <w:r w:rsidRPr="0030682B">
              <w:rPr>
                <w:bCs/>
                <w:color w:val="000000"/>
              </w:rPr>
              <w:t>.</w:t>
            </w:r>
          </w:p>
        </w:tc>
        <w:tc>
          <w:tcPr>
            <w:tcW w:w="4248" w:type="dxa"/>
            <w:shd w:val="clear" w:color="auto" w:fill="92D050"/>
          </w:tcPr>
          <w:p w:rsidR="00CA1A55" w:rsidRPr="0030682B" w:rsidRDefault="00CA1A55" w:rsidP="00A61C0D">
            <w:pPr>
              <w:rPr>
                <w:b/>
                <w:bCs/>
                <w:color w:val="000000"/>
              </w:rPr>
            </w:pPr>
            <w:r w:rsidRPr="0030682B">
              <w:rPr>
                <w:b/>
                <w:bCs/>
                <w:color w:val="000000"/>
              </w:rPr>
              <w:t>Doplnková výbava a príslušenstvo</w:t>
            </w:r>
          </w:p>
        </w:tc>
        <w:tc>
          <w:tcPr>
            <w:tcW w:w="1985" w:type="dxa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</w:tcPr>
          <w:p w:rsidR="00CA1A55" w:rsidRPr="00506451" w:rsidRDefault="00CA1A55" w:rsidP="00A61C0D">
            <w:pPr>
              <w:rPr>
                <w:bCs/>
                <w:color w:val="000000"/>
              </w:rPr>
            </w:pPr>
          </w:p>
        </w:tc>
      </w:tr>
      <w:tr w:rsidR="00CA1A55" w:rsidRPr="0096144C" w:rsidTr="00A61C0D">
        <w:trPr>
          <w:trHeight w:val="301"/>
        </w:trPr>
        <w:tc>
          <w:tcPr>
            <w:tcW w:w="855" w:type="dxa"/>
          </w:tcPr>
          <w:p w:rsidR="00CA1A55" w:rsidRPr="0096144C" w:rsidRDefault="00CA1A55" w:rsidP="00A61C0D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96144C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10 ks ohrievač </w:t>
            </w:r>
            <w:proofErr w:type="spellStart"/>
            <w:r w:rsidRPr="0096144C">
              <w:rPr>
                <w:sz w:val="22"/>
              </w:rPr>
              <w:t>sono</w:t>
            </w:r>
            <w:proofErr w:type="spellEnd"/>
            <w:r w:rsidRPr="0096144C">
              <w:rPr>
                <w:sz w:val="22"/>
              </w:rPr>
              <w:t xml:space="preserve"> gélu </w:t>
            </w:r>
          </w:p>
        </w:tc>
        <w:tc>
          <w:tcPr>
            <w:tcW w:w="1985" w:type="dxa"/>
            <w:shd w:val="clear" w:color="auto" w:fill="auto"/>
          </w:tcPr>
          <w:p w:rsidR="00CA1A55" w:rsidRPr="0096144C" w:rsidRDefault="00CA1A55" w:rsidP="00A61C0D">
            <w:r w:rsidRPr="0096144C">
              <w:rPr>
                <w:sz w:val="22"/>
              </w:rPr>
              <w:t xml:space="preserve">áno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A1A55" w:rsidRPr="0096144C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E07335" w:rsidRDefault="00CA1A55" w:rsidP="00A61C0D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FD7A6B" w:rsidRDefault="00CA1A55" w:rsidP="00A61C0D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F038F7" w:rsidRDefault="00CA1A55" w:rsidP="00A61C0D">
            <w:r w:rsidRPr="00F038F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F038F7">
              <w:rPr>
                <w:sz w:val="22"/>
              </w:rPr>
              <w:t xml:space="preserve"> ks lineárna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</w:t>
            </w:r>
            <w:r w:rsidRPr="00C52EF1">
              <w:t xml:space="preserve"> </w:t>
            </w:r>
            <w:r w:rsidRPr="00C52EF1">
              <w:rPr>
                <w:sz w:val="22"/>
              </w:rPr>
              <w:t>4,5 – 11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E862FF" w:rsidTr="00A61C0D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CA1A55" w:rsidRPr="00E07335" w:rsidRDefault="00CA1A55" w:rsidP="00A61C0D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</w:t>
            </w:r>
            <w:proofErr w:type="spellStart"/>
            <w:r w:rsidRPr="00E960A7">
              <w:rPr>
                <w:sz w:val="22"/>
              </w:rPr>
              <w:t>abdominálna</w:t>
            </w:r>
            <w:proofErr w:type="spellEnd"/>
            <w:r w:rsidRPr="00E960A7">
              <w:rPr>
                <w:sz w:val="22"/>
              </w:rPr>
              <w:t xml:space="preserve"> konvexná sonda s 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E862FF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E960A7" w:rsidRDefault="00CA1A55" w:rsidP="00A61C0D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sektorová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52EF1" w:rsidRDefault="00CA1A55" w:rsidP="00A61C0D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E862FF" w:rsidRDefault="00CA1A55" w:rsidP="00A61C0D">
            <w:pPr>
              <w:rPr>
                <w:color w:val="FF000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E07335" w:rsidRDefault="00CA1A55" w:rsidP="00A61C0D"/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1985" w:type="dxa"/>
            <w:shd w:val="clear" w:color="auto" w:fill="auto"/>
            <w:vAlign w:val="center"/>
            <w:hideMark/>
          </w:tcPr>
          <w:p w:rsidR="00CA1A55" w:rsidRPr="00FD7A6B" w:rsidRDefault="00CA1A55" w:rsidP="00A61C0D"/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C62AEC" w:rsidTr="00A61C0D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>
              <w:br w:type="page"/>
            </w:r>
            <w:r w:rsidRPr="00C62AEC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CA1A55" w:rsidRPr="00C62AEC" w:rsidRDefault="00CA1A55" w:rsidP="00A61C0D">
            <w:pPr>
              <w:rPr>
                <w:b/>
                <w:bCs/>
              </w:rPr>
            </w:pPr>
            <w:r w:rsidRPr="00C62AEC">
              <w:rPr>
                <w:b/>
                <w:bCs/>
                <w:sz w:val="22"/>
              </w:rPr>
              <w:t xml:space="preserve">Plná autorizovaná servisná podpora </w:t>
            </w: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Default="00CA1A55" w:rsidP="00A61C0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12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max do 24 hodín </w:t>
            </w:r>
          </w:p>
          <w:p w:rsidR="00CA1A55" w:rsidRPr="00C62AEC" w:rsidRDefault="00CA1A55" w:rsidP="00A61C0D">
            <w:r w:rsidRPr="00C62AEC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24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6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Doba na odstránenie poruchy s použitím originálnych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max do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</w:t>
            </w:r>
            <w:r w:rsidRPr="00C62AEC">
              <w:rPr>
                <w:sz w:val="22"/>
              </w:rPr>
              <w:lastRenderedPageBreak/>
              <w:t xml:space="preserve">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lastRenderedPageBreak/>
              <w:t>3.</w:t>
            </w:r>
            <w:r>
              <w:rPr>
                <w:sz w:val="22"/>
              </w:rPr>
              <w:t>8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10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 w:rsidRPr="00C62AEC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C62AEC">
              <w:rPr>
                <w:sz w:val="22"/>
              </w:rPr>
              <w:t>vád</w:t>
            </w:r>
            <w:proofErr w:type="spellEnd"/>
            <w:r w:rsidRPr="00C62AEC">
              <w:rPr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/>
        </w:tc>
      </w:tr>
      <w:tr w:rsidR="00CA1A55" w:rsidRPr="00FD7A6B" w:rsidTr="00A61C0D">
        <w:trPr>
          <w:trHeight w:val="301"/>
        </w:trPr>
        <w:tc>
          <w:tcPr>
            <w:tcW w:w="855" w:type="dxa"/>
          </w:tcPr>
          <w:p w:rsidR="00CA1A55" w:rsidRPr="00C62AEC" w:rsidRDefault="00CA1A55" w:rsidP="00A61C0D">
            <w:r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CA1A55" w:rsidRPr="00C62AEC" w:rsidRDefault="00CA1A55" w:rsidP="00A61C0D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CA1A55" w:rsidRPr="00FD7A6B" w:rsidRDefault="00CA1A55" w:rsidP="00A61C0D">
            <w:pPr>
              <w:rPr>
                <w:color w:val="00B050"/>
              </w:rPr>
            </w:pPr>
          </w:p>
        </w:tc>
      </w:tr>
    </w:tbl>
    <w:p w:rsidR="007D69D7" w:rsidRPr="00A70335" w:rsidRDefault="007D69D7" w:rsidP="007D69D7">
      <w:pPr>
        <w:rPr>
          <w:sz w:val="12"/>
          <w:szCs w:val="12"/>
        </w:rPr>
      </w:pPr>
    </w:p>
    <w:p w:rsidR="007D69D7" w:rsidRDefault="007D69D7" w:rsidP="007D69D7">
      <w:pPr>
        <w:rPr>
          <w:sz w:val="22"/>
        </w:rPr>
      </w:pPr>
    </w:p>
    <w:p w:rsidR="007D69D7" w:rsidRDefault="007D69D7" w:rsidP="007D69D7"/>
    <w:p w:rsidR="00A11435" w:rsidRDefault="00A11435" w:rsidP="00A11435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A11435" w:rsidRDefault="00A11435" w:rsidP="00A11435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A11435" w:rsidRDefault="00A11435" w:rsidP="00A11435">
      <w:pPr>
        <w:rPr>
          <w:bCs/>
          <w:i/>
          <w:iCs/>
          <w:color w:val="000000"/>
          <w:sz w:val="22"/>
        </w:rPr>
      </w:pP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A11435" w:rsidRDefault="00A11435" w:rsidP="00A11435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A11435" w:rsidRDefault="00A11435" w:rsidP="00A11435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634001" w:rsidRDefault="00634001"/>
    <w:sectPr w:rsidR="00634001" w:rsidSect="007D69D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BB" w:rsidRDefault="00861CBB" w:rsidP="007D69D7">
      <w:r>
        <w:separator/>
      </w:r>
    </w:p>
  </w:endnote>
  <w:endnote w:type="continuationSeparator" w:id="0">
    <w:p w:rsidR="00861CBB" w:rsidRDefault="00861CBB" w:rsidP="007D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3047"/>
      <w:docPartObj>
        <w:docPartGallery w:val="Page Numbers (Bottom of Page)"/>
        <w:docPartUnique/>
      </w:docPartObj>
    </w:sdtPr>
    <w:sdtContent>
      <w:p w:rsidR="007D69D7" w:rsidRDefault="001B0D3E">
        <w:pPr>
          <w:pStyle w:val="Pta"/>
          <w:jc w:val="right"/>
        </w:pPr>
        <w:fldSimple w:instr=" PAGE   \* MERGEFORMAT ">
          <w:r w:rsidR="00391624">
            <w:rPr>
              <w:noProof/>
            </w:rPr>
            <w:t>2</w:t>
          </w:r>
        </w:fldSimple>
      </w:p>
    </w:sdtContent>
  </w:sdt>
  <w:p w:rsidR="007D69D7" w:rsidRDefault="007D69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BB" w:rsidRDefault="00861CBB" w:rsidP="007D69D7">
      <w:r>
        <w:separator/>
      </w:r>
    </w:p>
  </w:footnote>
  <w:footnote w:type="continuationSeparator" w:id="0">
    <w:p w:rsidR="00861CBB" w:rsidRDefault="00861CBB" w:rsidP="007D6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27" w:rsidRPr="007D69D7" w:rsidRDefault="007D69D7" w:rsidP="007D69D7">
    <w:pPr>
      <w:pStyle w:val="Hlavika"/>
      <w:jc w:val="right"/>
    </w:pPr>
    <w:r>
      <w:tab/>
    </w:r>
    <w:r w:rsidRPr="007D69D7">
      <w:t>Opis predmetu zákazky</w:t>
    </w:r>
    <w:r w:rsidR="00810A86">
      <w:t xml:space="preserve"> </w:t>
    </w:r>
    <w:r w:rsidR="00E30A27">
      <w:t xml:space="preserve">pre časť č. 2 </w:t>
    </w:r>
  </w:p>
  <w:p w:rsidR="007D69D7" w:rsidRDefault="007D69D7" w:rsidP="007D69D7">
    <w:pPr>
      <w:pStyle w:val="Hlavika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D7"/>
    <w:rsid w:val="000204C2"/>
    <w:rsid w:val="00036A87"/>
    <w:rsid w:val="00096C08"/>
    <w:rsid w:val="000F48DF"/>
    <w:rsid w:val="00161D02"/>
    <w:rsid w:val="00177048"/>
    <w:rsid w:val="001B0D3E"/>
    <w:rsid w:val="00245C1B"/>
    <w:rsid w:val="002532AF"/>
    <w:rsid w:val="00261B70"/>
    <w:rsid w:val="00391624"/>
    <w:rsid w:val="00592766"/>
    <w:rsid w:val="005C7CA8"/>
    <w:rsid w:val="00601FDA"/>
    <w:rsid w:val="00634001"/>
    <w:rsid w:val="00695C2A"/>
    <w:rsid w:val="006A4572"/>
    <w:rsid w:val="00774C3F"/>
    <w:rsid w:val="007D69D7"/>
    <w:rsid w:val="00805697"/>
    <w:rsid w:val="00810A86"/>
    <w:rsid w:val="00861CBB"/>
    <w:rsid w:val="009D14A4"/>
    <w:rsid w:val="00A11435"/>
    <w:rsid w:val="00A22A48"/>
    <w:rsid w:val="00A81398"/>
    <w:rsid w:val="00B52DAE"/>
    <w:rsid w:val="00BA6AAB"/>
    <w:rsid w:val="00C4457F"/>
    <w:rsid w:val="00C61061"/>
    <w:rsid w:val="00C952A2"/>
    <w:rsid w:val="00CA1A55"/>
    <w:rsid w:val="00DD5121"/>
    <w:rsid w:val="00E01B6C"/>
    <w:rsid w:val="00E03399"/>
    <w:rsid w:val="00E22CFE"/>
    <w:rsid w:val="00E30A27"/>
    <w:rsid w:val="00E81CAD"/>
    <w:rsid w:val="00FB4C8E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9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69D7"/>
  </w:style>
  <w:style w:type="paragraph" w:styleId="Pta">
    <w:name w:val="footer"/>
    <w:basedOn w:val="Normlny"/>
    <w:link w:val="PtaChar"/>
    <w:uiPriority w:val="99"/>
    <w:unhideWhenUsed/>
    <w:rsid w:val="007D69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69D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D69D7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D69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D6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D69D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Bezriadkovania">
    <w:name w:val="No Spacing"/>
    <w:uiPriority w:val="1"/>
    <w:qFormat/>
    <w:rsid w:val="007D69D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D69D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14</cp:revision>
  <dcterms:created xsi:type="dcterms:W3CDTF">2020-12-14T12:10:00Z</dcterms:created>
  <dcterms:modified xsi:type="dcterms:W3CDTF">2021-01-04T15:08:00Z</dcterms:modified>
</cp:coreProperties>
</file>