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F6" w:rsidRPr="006821E6" w:rsidRDefault="0001232C" w:rsidP="00A63DF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VI. SP</w:t>
      </w:r>
      <w:r w:rsidR="00A63DF6" w:rsidRPr="006821E6">
        <w:rPr>
          <w:rFonts w:cs="Arial"/>
          <w:b/>
          <w:szCs w:val="20"/>
        </w:rPr>
        <w:t xml:space="preserve"> </w:t>
      </w:r>
      <w:r w:rsidR="00A63DF6" w:rsidRPr="006821E6">
        <w:rPr>
          <w:rFonts w:cs="Arial"/>
          <w:b/>
          <w:szCs w:val="20"/>
        </w:rPr>
        <w:tab/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b/>
          <w:szCs w:val="20"/>
        </w:rPr>
      </w:pPr>
      <w:r w:rsidRPr="006821E6">
        <w:rPr>
          <w:rFonts w:cs="Arial"/>
          <w:b/>
          <w:szCs w:val="20"/>
        </w:rPr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(splnenie povinnosti ustanovenej v § 41 ods. 3 ZVO.)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Na realizácii ZMLUVY uzavretej na základe výsledku procesu verejného obstarávania sa budú podieľať subdodávatelia: ÁNO/NIE</w:t>
      </w:r>
      <w:r w:rsidRPr="006821E6">
        <w:rPr>
          <w:rStyle w:val="Odkaznapoznmkupodiarou"/>
          <w:rFonts w:cs="Arial"/>
          <w:szCs w:val="20"/>
        </w:rPr>
        <w:footnoteReference w:id="1"/>
      </w:r>
      <w:r w:rsidRPr="006821E6">
        <w:rPr>
          <w:rFonts w:cs="Arial"/>
          <w:szCs w:val="20"/>
        </w:rPr>
        <w:t>: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374" w:type="dxa"/>
        <w:tblLook w:val="04A0" w:firstRow="1" w:lastRow="0" w:firstColumn="1" w:lastColumn="0" w:noHBand="0" w:noVBand="1"/>
      </w:tblPr>
      <w:tblGrid>
        <w:gridCol w:w="2190"/>
        <w:gridCol w:w="2169"/>
        <w:gridCol w:w="2078"/>
        <w:gridCol w:w="2251"/>
      </w:tblGrid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Obchodné meno alebo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názov, sídlo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subdodávateľa, IČO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Meno a priezvisko,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adresa pobytu, dátum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narodenia, osoby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oprávnenej konať za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Predmet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Objem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predpokladaných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 v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EUR bez DPH</w:t>
            </w: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>SPOLU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</w:tbl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  <w:r w:rsidRPr="006821E6">
        <w:rPr>
          <w:rFonts w:cs="Arial"/>
          <w:szCs w:val="20"/>
        </w:rPr>
        <w:t>čestne vyhlasujem,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že každý subdodávateľ podľa § 41 ZVO spĺňa alebo najneskôr v čase plnenia bude spĺňať podmienky podľa § 32 ods.1 ZVO a nesmú u neho existovať dôvody na vylúčenie podľa § 40 ods.6 písm. a) až h) a ods.7 ZVO; bude mať oprávnenie dodávať tovar alebo poskytovať službu k tej časti predmetu zákazky, ktorú má subdodávateľ plniť, 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>pokiaľ som neuviedol identifikačné údaje subdodávateľa nakoľko mi nie je známy, túto povinnosť si splním najneskôr do 5 pracovných dní odo dňa uzatvorenia zmluvy so subdodávateľom a písomne o tom informujem verejného obstarávateľa,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/>
        <w:ind w:left="374" w:hanging="431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V prípade, že sa stanem úspešným uchádzačom a po podpise zmluvy zmenu </w:t>
      </w:r>
      <w:r w:rsidRPr="006821E6">
        <w:rPr>
          <w:rFonts w:eastAsia="Calibri" w:cs="Arial"/>
          <w:sz w:val="20"/>
          <w:szCs w:val="20"/>
        </w:rPr>
        <w:t>subdodávateľa oznámim verejnému obstarávateľovi (objednávateľovi) minimálne 5 pracovných dní pred začatím poskytovania služieb subdodávateľom. Ka</w:t>
      </w:r>
      <w:bookmarkStart w:id="0" w:name="_GoBack"/>
      <w:bookmarkEnd w:id="0"/>
      <w:r w:rsidRPr="006821E6">
        <w:rPr>
          <w:rFonts w:eastAsia="Calibri" w:cs="Arial"/>
          <w:sz w:val="20"/>
          <w:szCs w:val="20"/>
        </w:rPr>
        <w:t>ždý takýto subdodávateľ bude spĺňať podmienku osobného postavenia podľa § 32 ods.1 ZVO a nesmú u neho existovať dôvody na vylúčenie podľa § 40 ods. 6 písm. a) až h) a ods. 7 ZVO; bude mať oprávnenie dodávať tovar alebo poskytovať službu k tej časti predmetu zákazky, ktorú má subdodávateľ plniť. Zároveň každý takýto subdodávateľ, ktorý má povinnosť zapisovať sa do registra partnerov verejného sektora v súlade s § 11 zákona o verejnom obstarávaní, bude zapísaný v registri partnerov verejného sektora.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V ................................  dňa: ...........................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Obchodné meno a sídlo poskytovateľa: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  <w:r w:rsidRPr="006821E6">
        <w:rPr>
          <w:rFonts w:eastAsia="Calibri" w:cs="Arial"/>
          <w:szCs w:val="20"/>
        </w:rPr>
        <w:t>Meno, podpis a pečiatka štatutárneho orgánu poskytovateľa:  ....................................................</w:t>
      </w:r>
    </w:p>
    <w:p w:rsidR="003A2247" w:rsidRPr="006821E6" w:rsidRDefault="003A2247">
      <w:pPr>
        <w:rPr>
          <w:rFonts w:cs="Arial"/>
          <w:szCs w:val="20"/>
        </w:rPr>
      </w:pPr>
    </w:p>
    <w:sectPr w:rsidR="003A2247" w:rsidRPr="006821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00" w:rsidRDefault="00C65700" w:rsidP="00A63DF6">
      <w:r>
        <w:separator/>
      </w:r>
    </w:p>
  </w:endnote>
  <w:endnote w:type="continuationSeparator" w:id="0">
    <w:p w:rsidR="00C65700" w:rsidRDefault="00C65700" w:rsidP="00A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00" w:rsidRDefault="00C65700" w:rsidP="00A63DF6">
      <w:r>
        <w:separator/>
      </w:r>
    </w:p>
  </w:footnote>
  <w:footnote w:type="continuationSeparator" w:id="0">
    <w:p w:rsidR="00C65700" w:rsidRDefault="00C65700" w:rsidP="00A63DF6">
      <w:r>
        <w:continuationSeparator/>
      </w:r>
    </w:p>
  </w:footnote>
  <w:footnote w:id="1">
    <w:p w:rsidR="00A63DF6" w:rsidRPr="007C056A" w:rsidRDefault="00A63DF6" w:rsidP="00A63DF6">
      <w:pPr>
        <w:pStyle w:val="Textpoznmkypodiarou"/>
        <w:rPr>
          <w:rFonts w:ascii="Arial" w:hAnsi="Arial" w:cs="Arial"/>
          <w:sz w:val="18"/>
        </w:rPr>
      </w:pPr>
      <w:r w:rsidRPr="007C056A">
        <w:rPr>
          <w:rStyle w:val="Odkaznapoznmkupodiarou"/>
          <w:rFonts w:ascii="Arial" w:hAnsi="Arial" w:cs="Arial"/>
          <w:sz w:val="18"/>
        </w:rPr>
        <w:footnoteRef/>
      </w:r>
      <w:r w:rsidRPr="007C056A">
        <w:rPr>
          <w:rFonts w:ascii="Arial" w:hAnsi="Arial" w:cs="Arial"/>
          <w:sz w:val="18"/>
        </w:rPr>
        <w:t xml:space="preserve"> 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6" w:rsidRPr="007C056A" w:rsidRDefault="00776A16" w:rsidP="00776A16">
    <w:pPr>
      <w:pStyle w:val="Hlavika"/>
      <w:rPr>
        <w:rFonts w:ascii="Times New Roman" w:hAnsi="Times New Roman"/>
        <w:i/>
        <w:sz w:val="18"/>
        <w:szCs w:val="20"/>
      </w:rPr>
    </w:pPr>
    <w:r w:rsidRPr="007C056A">
      <w:rPr>
        <w:i/>
        <w:sz w:val="18"/>
        <w:szCs w:val="20"/>
      </w:rPr>
      <w:t>Súťažné podklady „</w:t>
    </w:r>
    <w:r w:rsidR="0001232C" w:rsidRPr="0001232C">
      <w:rPr>
        <w:i/>
        <w:sz w:val="18"/>
        <w:szCs w:val="20"/>
      </w:rPr>
      <w:t>Lesnícke činnosti v ťažbovom procese na OZ Čie</w:t>
    </w:r>
    <w:r w:rsidR="0014496F">
      <w:rPr>
        <w:i/>
        <w:sz w:val="18"/>
        <w:szCs w:val="20"/>
      </w:rPr>
      <w:t>rny Balog, LS Sihla na roky 2021</w:t>
    </w:r>
    <w:r w:rsidR="0001232C" w:rsidRPr="0001232C">
      <w:rPr>
        <w:i/>
        <w:sz w:val="18"/>
        <w:szCs w:val="20"/>
      </w:rPr>
      <w:t xml:space="preserve"> - 2022</w:t>
    </w:r>
    <w:r w:rsidRPr="007C056A">
      <w:rPr>
        <w:i/>
        <w:sz w:val="18"/>
        <w:szCs w:val="20"/>
      </w:rPr>
      <w:t>“</w:t>
    </w:r>
  </w:p>
  <w:p w:rsidR="00776A16" w:rsidRPr="00776A16" w:rsidRDefault="00776A16" w:rsidP="00776A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01D1"/>
    <w:multiLevelType w:val="hybridMultilevel"/>
    <w:tmpl w:val="359850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F6"/>
    <w:rsid w:val="0001232C"/>
    <w:rsid w:val="000551C2"/>
    <w:rsid w:val="0014496F"/>
    <w:rsid w:val="003A2247"/>
    <w:rsid w:val="003D2853"/>
    <w:rsid w:val="0044583E"/>
    <w:rsid w:val="004D32A9"/>
    <w:rsid w:val="004D509E"/>
    <w:rsid w:val="006821E6"/>
    <w:rsid w:val="00776A16"/>
    <w:rsid w:val="007B2592"/>
    <w:rsid w:val="007C056A"/>
    <w:rsid w:val="00A63DF6"/>
    <w:rsid w:val="00AE3178"/>
    <w:rsid w:val="00BF6134"/>
    <w:rsid w:val="00C65700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6AAE-54EE-4AC8-B93D-32DF591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DF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3DF6"/>
    <w:pPr>
      <w:ind w:left="708"/>
    </w:pPr>
    <w:rPr>
      <w:sz w:val="22"/>
    </w:rPr>
  </w:style>
  <w:style w:type="table" w:styleId="Mriekatabuky">
    <w:name w:val="Table Grid"/>
    <w:basedOn w:val="Normlnatabuka"/>
    <w:uiPriority w:val="39"/>
    <w:rsid w:val="00A63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63DF6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3DF6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D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3DF6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776A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6A16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A16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Janakova, Anna</dc:creator>
  <cp:keywords/>
  <dc:description/>
  <cp:lastModifiedBy>Precuch, Juraj</cp:lastModifiedBy>
  <cp:revision>3</cp:revision>
  <dcterms:created xsi:type="dcterms:W3CDTF">2021-01-05T09:51:00Z</dcterms:created>
  <dcterms:modified xsi:type="dcterms:W3CDTF">2021-01-22T11:28:00Z</dcterms:modified>
</cp:coreProperties>
</file>