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596A29" w:rsidRDefault="00596A29" w:rsidP="00706CD2">
            <w:pPr>
              <w:autoSpaceDE w:val="0"/>
              <w:autoSpaceDN w:val="0"/>
              <w:adjustRightInd w:val="0"/>
              <w:jc w:val="both"/>
              <w:rPr>
                <w:rFonts w:ascii="Arial" w:hAnsi="Arial" w:cs="Arial"/>
                <w:b/>
                <w:sz w:val="20"/>
                <w:szCs w:val="20"/>
              </w:rPr>
            </w:pPr>
            <w:r w:rsidRPr="00596A29">
              <w:rPr>
                <w:rFonts w:ascii="Arial" w:hAnsi="Arial" w:cs="Arial"/>
                <w:b/>
                <w:sz w:val="20"/>
                <w:szCs w:val="20"/>
              </w:rPr>
              <w:t>Obec Štrba</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Pr="00596A29" w:rsidRDefault="00596A29" w:rsidP="00596A29">
            <w:pPr>
              <w:ind w:hanging="4"/>
              <w:rPr>
                <w:rFonts w:ascii="Arial" w:hAnsi="Arial" w:cs="Arial"/>
                <w:b/>
                <w:bCs/>
                <w:sz w:val="20"/>
                <w:szCs w:val="20"/>
              </w:rPr>
            </w:pPr>
            <w:r w:rsidRPr="00596A29">
              <w:rPr>
                <w:rFonts w:ascii="Arial" w:hAnsi="Arial" w:cs="Arial"/>
                <w:b/>
                <w:bCs/>
                <w:sz w:val="20"/>
                <w:szCs w:val="20"/>
              </w:rPr>
              <w:t>Vybavenie odborných učební Základnej školy v obci Štrba</w:t>
            </w:r>
          </w:p>
          <w:p w:rsidR="008D12AC" w:rsidRPr="00596A29" w:rsidRDefault="008D12AC" w:rsidP="00596A29">
            <w:pPr>
              <w:ind w:hanging="4"/>
              <w:rPr>
                <w:rFonts w:ascii="Arial" w:hAnsi="Arial" w:cs="Arial"/>
                <w:b/>
                <w:bCs/>
                <w:sz w:val="20"/>
                <w:szCs w:val="20"/>
              </w:rPr>
            </w:pPr>
            <w:r w:rsidRPr="00596A29">
              <w:rPr>
                <w:rFonts w:ascii="Calibri" w:hAnsi="Calibri" w:cs="Calibri"/>
                <w:b/>
                <w:bCs/>
                <w:sz w:val="22"/>
                <w:szCs w:val="22"/>
                <w:highlight w:val="green"/>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bookmarkStart w:id="0" w:name="_GoBack"/>
      <w:bookmarkEnd w:id="0"/>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596A29" w:rsidRPr="00596A29">
              <w:rPr>
                <w:rFonts w:ascii="Calibri" w:hAnsi="Calibri" w:cs="Calibri"/>
                <w:noProof/>
                <w:color w:val="000000"/>
                <w:lang w:eastAsia="sk-SK"/>
              </w:rPr>
              <w:t>Technické a technologické vybavenie – IKT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A37E51">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583891" w:rsidRDefault="00596A29" w:rsidP="00A37E51">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583891" w:rsidRDefault="00596A29"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596A29" w:rsidRPr="00583891" w:rsidTr="00596A29">
        <w:tc>
          <w:tcPr>
            <w:tcW w:w="740" w:type="dxa"/>
            <w:tcBorders>
              <w:top w:val="nil"/>
              <w:left w:val="nil"/>
              <w:bottom w:val="single" w:sz="4" w:space="0" w:color="auto"/>
              <w:right w:val="nil"/>
            </w:tcBorders>
            <w:shd w:val="clear" w:color="000000" w:fill="FFFFFF"/>
            <w:hideMark/>
          </w:tcPr>
          <w:p w:rsidR="00596A29" w:rsidRPr="00583891" w:rsidRDefault="00596A29"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596A29">
        <w:tc>
          <w:tcPr>
            <w:tcW w:w="740" w:type="dxa"/>
            <w:tcBorders>
              <w:top w:val="single" w:sz="4" w:space="0" w:color="auto"/>
              <w:left w:val="single" w:sz="4" w:space="0" w:color="auto"/>
              <w:bottom w:val="single" w:sz="4" w:space="0" w:color="auto"/>
              <w:right w:val="single" w:sz="4" w:space="0" w:color="auto"/>
            </w:tcBorders>
            <w:shd w:val="clear" w:color="000000" w:fill="FFFFFF"/>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3</w:t>
            </w:r>
          </w:p>
        </w:tc>
        <w:tc>
          <w:tcPr>
            <w:tcW w:w="8469" w:type="dxa"/>
            <w:tcBorders>
              <w:top w:val="single" w:sz="4" w:space="0" w:color="auto"/>
              <w:left w:val="single" w:sz="4" w:space="0" w:color="auto"/>
              <w:bottom w:val="single" w:sz="4" w:space="0" w:color="auto"/>
              <w:right w:val="single" w:sz="4" w:space="0" w:color="auto"/>
            </w:tcBorders>
            <w:shd w:val="clear" w:color="000000" w:fill="FFFFFF"/>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Zázemie pre učiteľov (2ks notebook + multifunkčná tlačiareň) - učebňa IKT </w:t>
            </w:r>
          </w:p>
        </w:tc>
      </w:tr>
      <w:tr w:rsidR="00596A29" w:rsidRPr="00583891" w:rsidTr="008E4323">
        <w:tc>
          <w:tcPr>
            <w:tcW w:w="740" w:type="dxa"/>
            <w:tcBorders>
              <w:top w:val="single" w:sz="4" w:space="0" w:color="auto"/>
              <w:left w:val="nil"/>
              <w:bottom w:val="nil"/>
              <w:right w:val="nil"/>
            </w:tcBorders>
            <w:shd w:val="clear" w:color="000000" w:fill="FFFFFF"/>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596A29" w:rsidRPr="00583891" w:rsidRDefault="00596A29"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596A29" w:rsidRPr="00583891" w:rsidTr="00C46450">
        <w:tc>
          <w:tcPr>
            <w:tcW w:w="740" w:type="dxa"/>
            <w:tcBorders>
              <w:top w:val="nil"/>
              <w:left w:val="nil"/>
              <w:bottom w:val="nil"/>
              <w:right w:val="nil"/>
            </w:tcBorders>
            <w:shd w:val="clear" w:color="000000" w:fill="FFFFFF"/>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3D tlačiareň, softvér</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Oblasť tlače (minimálna) :  min. 150x150x150 mm, tlačová hlava single s možnosťou tvorby podper, presnosť tlače 0,1mm, hrúbka tlačovej vrstvy 0,05mm, rýchlosť tlače 90mm/s, výmenná tryska priemer 0,4mm , tlačová podložka sklenená alebo sklokeramická, odoberateľná, pripojenie k dátovému zdroju RJ-45 (Ethernet), tlačový  priestor úplne uzamykateľný -  to je  tlačový priestor aj zásobník s fillamentom, bezpečnostne prvky zakryté, tlačiareň so zámkami na dverách, snímač tlačovej podložky, dostupnosť vnútorného priestoru po zadaní prihlasovacích údajov. Zdroj tlačiarne úplne zakrytý, funkcia  overovania totožnosti: užívateľ (tlač), administrátor (výmena  fillamentov, nastavenie tlačiarne), monitoring 3D tlače(odosielanie e-mailu pri dokončení prace 3D tlačiarne), Záruka: 2 roky</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Školský server, kabeláž, softvér</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Server s procesorom min. 3GHz, RAM 8GB, HDD min 2TB, Microsoft Windows licencovaný softvér pre všetky zariadenia v učebni pripojené na server, Switch umožňujúci pripojiť všetky zariadenia v učebni na server s min. parametrami 10/100/1000M RJ45, kompletná kabeláž pre pripojenie všetkých zariadení v učebni k serveru</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žiaka</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A37E51" w:rsidRDefault="00596A29"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citacka pam. Kariet</w:t>
            </w:r>
            <w:r>
              <w:rPr>
                <w:rFonts w:ascii="Calibri" w:hAnsi="Calibri" w:cs="Calibri"/>
                <w:noProof/>
                <w:color w:val="000000"/>
                <w:sz w:val="16"/>
                <w:szCs w:val="16"/>
                <w:lang w:eastAsia="sk-SK"/>
              </w:rPr>
              <w:t>, príslušenstvo – myš.</w:t>
            </w:r>
          </w:p>
          <w:p w:rsidR="00596A29" w:rsidRPr="00583891" w:rsidRDefault="00596A29"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KOMUNIKACIA min. Gigabit ethernet + min. 11ac wifi + bluetooth 4.1, BEZPECNOST min. integrovany TPM 2.0 cip, BATERIA min 2 clanky min 30Wh s vydrzou min 5 hodin v uspornom rezime, OS min. Microsoft Windows 10 64bit SK, VAHA max 1.9 kg, ZARUKA min. 2 roky v servisnom stredisku</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8</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učiteľa</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w:t>
            </w:r>
            <w:r>
              <w:rPr>
                <w:rFonts w:ascii="Calibri" w:hAnsi="Calibri" w:cs="Calibri"/>
                <w:noProof/>
                <w:color w:val="000000"/>
                <w:sz w:val="16"/>
                <w:szCs w:val="16"/>
                <w:lang w:eastAsia="sk-SK"/>
              </w:rPr>
              <w:t xml:space="preserve"> príslušenstvo – myš,</w:t>
            </w:r>
            <w:r w:rsidRPr="00C436E6">
              <w:rPr>
                <w:rFonts w:ascii="Calibri" w:hAnsi="Calibri" w:cs="Calibri"/>
                <w:noProof/>
                <w:color w:val="000000"/>
                <w:sz w:val="16"/>
                <w:szCs w:val="16"/>
                <w:lang w:eastAsia="sk-SK"/>
              </w:rPr>
              <w:t xml:space="preserve"> BATERIA min 2 clanky min 30Wh s vydrzou min 5 hodin v uspornom rezime, OS min. Microsoft Windows 10 Pro 64bit SK, VAHA max 2.2kg, ZARUKA min. 2 roky v servisnom stredisku</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9</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C436E6" w:rsidRDefault="00596A29"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596A29" w:rsidRPr="00583891" w:rsidRDefault="00596A29"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10</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96A29"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Žiacka stanica</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96A29" w:rsidRPr="00583891" w:rsidRDefault="00596A29" w:rsidP="00E00386">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p>
        </w:tc>
      </w:tr>
      <w:tr w:rsidR="00596A29" w:rsidRPr="00583891" w:rsidTr="00C46450">
        <w:tc>
          <w:tcPr>
            <w:tcW w:w="740" w:type="dxa"/>
            <w:tcBorders>
              <w:top w:val="nil"/>
              <w:left w:val="nil"/>
              <w:bottom w:val="nil"/>
              <w:right w:val="nil"/>
            </w:tcBorders>
            <w:shd w:val="clear" w:color="000000" w:fill="FFFFFF"/>
            <w:hideMark/>
          </w:tcPr>
          <w:p w:rsidR="00596A29" w:rsidRPr="00583891" w:rsidRDefault="00596A29"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96A29" w:rsidRPr="00583891" w:rsidRDefault="00596A29"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127847"/>
    <w:rsid w:val="001A5E20"/>
    <w:rsid w:val="001E24E4"/>
    <w:rsid w:val="00246971"/>
    <w:rsid w:val="00247D73"/>
    <w:rsid w:val="00367256"/>
    <w:rsid w:val="004B7825"/>
    <w:rsid w:val="00502418"/>
    <w:rsid w:val="005147F1"/>
    <w:rsid w:val="005538E7"/>
    <w:rsid w:val="00583891"/>
    <w:rsid w:val="00596A29"/>
    <w:rsid w:val="006375FF"/>
    <w:rsid w:val="006B0755"/>
    <w:rsid w:val="00706CD2"/>
    <w:rsid w:val="007366F8"/>
    <w:rsid w:val="00781204"/>
    <w:rsid w:val="00796D61"/>
    <w:rsid w:val="007B5256"/>
    <w:rsid w:val="008A7C49"/>
    <w:rsid w:val="008D12AC"/>
    <w:rsid w:val="00A37E51"/>
    <w:rsid w:val="00A40A37"/>
    <w:rsid w:val="00B11418"/>
    <w:rsid w:val="00C17900"/>
    <w:rsid w:val="00C436E6"/>
    <w:rsid w:val="00C46450"/>
    <w:rsid w:val="00C71FFC"/>
    <w:rsid w:val="00E00386"/>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37E1"/>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1646</Words>
  <Characters>9388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12</cp:revision>
  <dcterms:created xsi:type="dcterms:W3CDTF">2018-07-18T21:59:00Z</dcterms:created>
  <dcterms:modified xsi:type="dcterms:W3CDTF">2018-09-24T14:18:00Z</dcterms:modified>
</cp:coreProperties>
</file>