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lastRenderedPageBreak/>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1132F3"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1132F3"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1132F3"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1132F3"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1132F3"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 xml:space="preserve">v elektronickej podobe prostredníctvom systému JOSEPHINE spôsobom uvedeným v bode 20 </w:t>
      </w:r>
      <w:r w:rsidRPr="00AC2AC9">
        <w:rPr>
          <w:rFonts w:ascii="Nudista" w:hAnsi="Nudista"/>
          <w:color w:val="auto"/>
        </w:rPr>
        <w:lastRenderedPageBreak/>
        <w:t>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r>
      <w:r w:rsidRPr="00AC2AC9">
        <w:rPr>
          <w:rFonts w:ascii="Nudista" w:hAnsi="Nudista" w:cs="Arial"/>
        </w:rPr>
        <w:lastRenderedPageBreak/>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w:t>
      </w:r>
      <w:r w:rsidRPr="00AC2AC9">
        <w:rPr>
          <w:rStyle w:val="spelle"/>
          <w:rFonts w:ascii="Nudista" w:hAnsi="Nudista"/>
        </w:rPr>
        <w:lastRenderedPageBreak/>
        <w:t>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lastRenderedPageBreak/>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lastRenderedPageBreak/>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lastRenderedPageBreak/>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7220EA5F"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335646" w:rsidRPr="00335646">
        <w:rPr>
          <w:rFonts w:ascii="Nudista" w:hAnsi="Nudista"/>
          <w:b/>
          <w:bCs/>
          <w:color w:val="FF0000"/>
        </w:rPr>
        <w:t>12.07</w:t>
      </w:r>
      <w:r w:rsidR="001A699C" w:rsidRPr="00335646">
        <w:rPr>
          <w:rFonts w:ascii="Nudista" w:hAnsi="Nudista"/>
          <w:b/>
          <w:bCs/>
          <w:color w:val="FF0000"/>
        </w:rPr>
        <w:t>.</w:t>
      </w:r>
      <w:r w:rsidR="006D6C23" w:rsidRPr="00335646">
        <w:rPr>
          <w:rFonts w:ascii="Nudista" w:hAnsi="Nudista"/>
          <w:b/>
          <w:bCs/>
          <w:color w:val="FF0000"/>
        </w:rPr>
        <w:t>2021</w:t>
      </w:r>
      <w:r w:rsidRPr="00335646">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33539751"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335646" w:rsidRPr="00335646">
        <w:rPr>
          <w:rFonts w:ascii="Nudista" w:eastAsiaTheme="majorEastAsia" w:hAnsi="Nudista" w:cstheme="majorBidi"/>
          <w:b/>
          <w:bCs/>
          <w:color w:val="FF0000"/>
          <w:sz w:val="20"/>
          <w:szCs w:val="24"/>
        </w:rPr>
        <w:t>12</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0</w:t>
      </w:r>
      <w:r w:rsidR="00335646" w:rsidRPr="00335646">
        <w:rPr>
          <w:rFonts w:ascii="Nudista" w:eastAsiaTheme="majorEastAsia" w:hAnsi="Nudista" w:cstheme="majorBidi"/>
          <w:b/>
          <w:bCs/>
          <w:color w:val="FF0000"/>
          <w:sz w:val="20"/>
          <w:szCs w:val="24"/>
        </w:rPr>
        <w:t>7</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2021</w:t>
      </w:r>
      <w:r w:rsidR="000F4A08" w:rsidRPr="00335646">
        <w:rPr>
          <w:rFonts w:ascii="Nudista" w:eastAsiaTheme="majorEastAsia" w:hAnsi="Nudista" w:cstheme="majorBidi"/>
          <w:b/>
          <w:bCs/>
          <w:color w:val="FF0000"/>
          <w:sz w:val="20"/>
          <w:szCs w:val="24"/>
        </w:rPr>
        <w:t xml:space="preserve"> </w:t>
      </w:r>
      <w:r w:rsidR="000F4A08" w:rsidRPr="00335646">
        <w:rPr>
          <w:rFonts w:ascii="Nudista" w:eastAsiaTheme="majorEastAsia" w:hAnsi="Nudista" w:cstheme="majorBidi"/>
          <w:b/>
          <w:bCs/>
          <w:color w:val="auto"/>
          <w:sz w:val="20"/>
          <w:szCs w:val="24"/>
        </w:rPr>
        <w:t>o</w:t>
      </w:r>
      <w:r w:rsidR="000F4A08" w:rsidRPr="00335646">
        <w:rPr>
          <w:rFonts w:ascii="Nudista" w:eastAsiaTheme="majorEastAsia" w:hAnsi="Nudista" w:cs="Calibri"/>
          <w:b/>
          <w:bCs/>
          <w:color w:val="auto"/>
          <w:sz w:val="20"/>
          <w:szCs w:val="24"/>
        </w:rPr>
        <w:t> </w:t>
      </w:r>
      <w:r w:rsidR="008233DC" w:rsidRPr="00335646">
        <w:rPr>
          <w:rFonts w:ascii="Nudista" w:eastAsiaTheme="majorEastAsia" w:hAnsi="Nudista" w:cstheme="majorBidi"/>
          <w:b/>
          <w:bCs/>
          <w:color w:val="auto"/>
          <w:sz w:val="20"/>
          <w:szCs w:val="24"/>
        </w:rPr>
        <w:t>10</w:t>
      </w:r>
      <w:r w:rsidR="000F4A08" w:rsidRPr="00335646">
        <w:rPr>
          <w:rFonts w:ascii="Nudista" w:eastAsiaTheme="majorEastAsia" w:hAnsi="Nudista" w:cstheme="majorBidi"/>
          <w:b/>
          <w:bCs/>
          <w:color w:val="auto"/>
          <w:sz w:val="20"/>
          <w:szCs w:val="24"/>
        </w:rPr>
        <w:t>:</w:t>
      </w:r>
      <w:r w:rsidR="008233DC" w:rsidRPr="00335646">
        <w:rPr>
          <w:rFonts w:ascii="Nudista" w:eastAsiaTheme="majorEastAsia" w:hAnsi="Nudista" w:cstheme="majorBidi"/>
          <w:b/>
          <w:bCs/>
          <w:color w:val="auto"/>
          <w:sz w:val="20"/>
          <w:szCs w:val="24"/>
        </w:rPr>
        <w:t>3</w:t>
      </w:r>
      <w:r w:rsidR="000F4A08" w:rsidRPr="00335646">
        <w:rPr>
          <w:rFonts w:ascii="Nudista" w:eastAsiaTheme="majorEastAsia" w:hAnsi="Nudista" w:cstheme="majorBidi"/>
          <w:b/>
          <w:bCs/>
          <w:color w:val="auto"/>
          <w:sz w:val="20"/>
          <w:szCs w:val="24"/>
        </w:rPr>
        <w:t>0 hod.</w:t>
      </w:r>
      <w:r w:rsidR="000F4A08" w:rsidRPr="00335646">
        <w:rPr>
          <w:rFonts w:ascii="Nudista" w:eastAsiaTheme="majorEastAsia" w:hAnsi="Nudista" w:cstheme="majorBidi"/>
          <w:color w:val="auto"/>
          <w:sz w:val="20"/>
          <w:szCs w:val="24"/>
        </w:rPr>
        <w:t xml:space="preserve"> </w:t>
      </w:r>
      <w:r w:rsidR="000F4A08" w:rsidRPr="00AC2AC9">
        <w:rPr>
          <w:rFonts w:ascii="Nudista" w:eastAsiaTheme="majorEastAsia" w:hAnsi="Nudista" w:cstheme="majorBidi"/>
          <w:color w:val="auto"/>
          <w:sz w:val="20"/>
          <w:szCs w:val="24"/>
        </w:rPr>
        <w:t>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lastRenderedPageBreak/>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Komisia akceptuje iba ponuky, ktoré spĺňajú požiadavky na predmet zákazky uvedené vo Výzve a v týchto súťažných podkladoch a zároveň neobsahujú žiadne obmedzenia alebo výhrady, </w:t>
      </w:r>
      <w:r w:rsidRPr="00AC2AC9">
        <w:rPr>
          <w:rFonts w:ascii="Nudista" w:hAnsi="Nudista"/>
        </w:rPr>
        <w:lastRenderedPageBreak/>
        <w:t>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lastRenderedPageBreak/>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lastRenderedPageBreak/>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lastRenderedPageBreak/>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lastRenderedPageBreak/>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1132F3"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1132F3"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1132F3"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1132F3"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1132F3"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1132F3"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06D0" w14:textId="77777777" w:rsidR="001132F3" w:rsidRDefault="001132F3" w:rsidP="005A4804">
      <w:r>
        <w:separator/>
      </w:r>
    </w:p>
  </w:endnote>
  <w:endnote w:type="continuationSeparator" w:id="0">
    <w:p w14:paraId="2CD0AB2E" w14:textId="77777777" w:rsidR="001132F3" w:rsidRDefault="001132F3" w:rsidP="005A4804">
      <w:r>
        <w:continuationSeparator/>
      </w:r>
    </w:p>
  </w:endnote>
  <w:endnote w:type="continuationNotice" w:id="1">
    <w:p w14:paraId="2F1C23FD" w14:textId="77777777" w:rsidR="001132F3" w:rsidRDefault="00113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FC18" w14:textId="77777777" w:rsidR="001132F3" w:rsidRDefault="001132F3" w:rsidP="005A4804">
      <w:r>
        <w:separator/>
      </w:r>
    </w:p>
  </w:footnote>
  <w:footnote w:type="continuationSeparator" w:id="0">
    <w:p w14:paraId="5ECD3B12" w14:textId="77777777" w:rsidR="001132F3" w:rsidRDefault="001132F3" w:rsidP="005A4804">
      <w:r>
        <w:continuationSeparator/>
      </w:r>
    </w:p>
  </w:footnote>
  <w:footnote w:type="continuationNotice" w:id="1">
    <w:p w14:paraId="3AF5DEF9" w14:textId="77777777" w:rsidR="001132F3" w:rsidRDefault="00113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FD7C420A">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hideGrammatical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2F3"/>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5646"/>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013"/>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93</TotalTime>
  <Pages>41</Pages>
  <Words>13977</Words>
  <Characters>79671</Characters>
  <Application>Microsoft Office Word</Application>
  <DocSecurity>0</DocSecurity>
  <Lines>663</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26</cp:revision>
  <cp:lastPrinted>2020-09-11T11:13:00Z</cp:lastPrinted>
  <dcterms:created xsi:type="dcterms:W3CDTF">2021-02-11T10:02:00Z</dcterms:created>
  <dcterms:modified xsi:type="dcterms:W3CDTF">2021-06-17T14:27:00Z</dcterms:modified>
</cp:coreProperties>
</file>