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1A" w:rsidRPr="00D06944" w:rsidRDefault="00625424" w:rsidP="005350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Zápisnica z vyhodnotenia splnenia podmienok účasti a</w:t>
      </w:r>
      <w:r w:rsidR="00D06944" w:rsidRPr="00D06944">
        <w:rPr>
          <w:rFonts w:ascii="Arial" w:hAnsi="Arial" w:cs="Arial"/>
          <w:b/>
          <w:sz w:val="28"/>
          <w:szCs w:val="28"/>
        </w:rPr>
        <w:t xml:space="preserve"> výsled</w:t>
      </w:r>
      <w:r w:rsidR="00D06944">
        <w:rPr>
          <w:rFonts w:ascii="Arial" w:hAnsi="Arial" w:cs="Arial"/>
          <w:b/>
          <w:sz w:val="28"/>
          <w:szCs w:val="28"/>
        </w:rPr>
        <w:t>ku vyhodnotenia cenových ponúk</w:t>
      </w:r>
    </w:p>
    <w:p w:rsidR="0053501A" w:rsidRPr="00D06944" w:rsidRDefault="00D06944" w:rsidP="0053501A">
      <w:pPr>
        <w:jc w:val="center"/>
        <w:rPr>
          <w:rFonts w:ascii="Arial" w:hAnsi="Arial" w:cs="Arial"/>
          <w:b/>
        </w:rPr>
      </w:pPr>
      <w:r w:rsidRPr="00D06944">
        <w:rPr>
          <w:rFonts w:ascii="Arial" w:hAnsi="Arial" w:cs="Arial"/>
        </w:rPr>
        <w:t>podľa § 55 ods. 2 zákona o verejnom obstarávaní predložených vo verejnom obstarávaní k verejnému obstarávaniu na predmet zákazky</w:t>
      </w:r>
      <w:r w:rsidR="0059724B">
        <w:rPr>
          <w:rFonts w:ascii="Arial" w:hAnsi="Arial" w:cs="Arial"/>
          <w:b/>
        </w:rPr>
        <w:t>:</w:t>
      </w:r>
    </w:p>
    <w:p w:rsidR="00FB7D33" w:rsidRPr="00FB7D33" w:rsidRDefault="00FB7D33" w:rsidP="00FB7D33">
      <w:pPr>
        <w:jc w:val="center"/>
        <w:rPr>
          <w:rFonts w:ascii="Arial" w:hAnsi="Arial" w:cs="Arial"/>
          <w:b/>
          <w:sz w:val="28"/>
          <w:szCs w:val="28"/>
        </w:rPr>
      </w:pPr>
      <w:r w:rsidRPr="00FB7D33">
        <w:rPr>
          <w:rFonts w:ascii="Arial" w:eastAsia="Georgia" w:hAnsi="Arial" w:cs="Arial"/>
          <w:b/>
          <w:bCs/>
          <w:sz w:val="28"/>
          <w:szCs w:val="28"/>
        </w:rPr>
        <w:t>„</w:t>
      </w:r>
      <w:r w:rsidRPr="00FB7D33">
        <w:rPr>
          <w:rFonts w:ascii="Arial" w:hAnsi="Arial" w:cs="Arial"/>
          <w:b/>
          <w:sz w:val="28"/>
          <w:szCs w:val="28"/>
        </w:rPr>
        <w:t>DODÁVKA  A REALIZÁCIA STAVEBNÝCH OBJEKTOV 01 MODULÁRNY PERGOLOVÝ SYSTÉM</w:t>
      </w:r>
      <w:r w:rsidRPr="00FB7D33">
        <w:rPr>
          <w:rFonts w:ascii="Arial" w:eastAsia="Georgia" w:hAnsi="Arial" w:cs="Arial"/>
          <w:b/>
          <w:bCs/>
          <w:sz w:val="28"/>
          <w:szCs w:val="28"/>
        </w:rPr>
        <w:t>“</w:t>
      </w:r>
    </w:p>
    <w:p w:rsidR="0059724B" w:rsidRDefault="0059724B" w:rsidP="00FB7D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724B" w:rsidRPr="007036A9" w:rsidRDefault="0059724B" w:rsidP="0059724B">
      <w:pPr>
        <w:pStyle w:val="Zkladntext"/>
        <w:ind w:left="317" w:right="342"/>
        <w:jc w:val="both"/>
        <w:rPr>
          <w:rFonts w:cs="Arial"/>
        </w:rPr>
      </w:pPr>
      <w:r>
        <w:t>vyhlásenej p</w:t>
      </w:r>
      <w:r w:rsidRPr="00E750DE">
        <w:t xml:space="preserve">odľa </w:t>
      </w:r>
      <w:r>
        <w:t xml:space="preserve">§117 </w:t>
      </w:r>
      <w:r w:rsidRPr="00E750DE">
        <w:t xml:space="preserve">zákona č. 343/2015 </w:t>
      </w:r>
      <w:r>
        <w:t xml:space="preserve">Z. </w:t>
      </w:r>
      <w:r w:rsidRPr="00E750DE">
        <w:t>z. o verejnom obstarávaní</w:t>
      </w:r>
      <w:r>
        <w:t xml:space="preserve"> v znení neskorších zmien a doplnkov a zverejnenej výzvou v systéme JOSEPHINA a priamim oslovením po</w:t>
      </w:r>
      <w:r w:rsidR="00BD3925">
        <w:t>tencionálnych dodávateľov práce</w:t>
      </w:r>
      <w:r>
        <w:t>.</w:t>
      </w:r>
    </w:p>
    <w:p w:rsidR="0059724B" w:rsidRDefault="0059724B" w:rsidP="0059724B">
      <w:pPr>
        <w:pStyle w:val="Zkladntext"/>
        <w:spacing w:before="9"/>
        <w:rPr>
          <w:sz w:val="21"/>
        </w:rPr>
      </w:pPr>
    </w:p>
    <w:p w:rsidR="0059724B" w:rsidRPr="0059724B" w:rsidRDefault="0059724B" w:rsidP="0059724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9724B">
        <w:rPr>
          <w:rFonts w:ascii="Arial" w:hAnsi="Arial" w:cs="Arial"/>
          <w:b/>
          <w:u w:val="single"/>
        </w:rPr>
        <w:t>Záverečné poradie ponúk po vyhodnotení s identifikáciou úspešného uchádzača:</w:t>
      </w:r>
    </w:p>
    <w:p w:rsidR="0053501A" w:rsidRPr="006F7EA2" w:rsidRDefault="0053501A" w:rsidP="0053501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063"/>
        <w:gridCol w:w="3070"/>
      </w:tblGrid>
      <w:tr w:rsidR="0059724B" w:rsidRPr="00563A72" w:rsidTr="00563A72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</w:rPr>
            </w:pPr>
            <w:r w:rsidRPr="00563A72">
              <w:rPr>
                <w:rFonts w:ascii="Arial" w:hAnsi="Arial" w:cs="Arial"/>
                <w:b/>
                <w:i/>
              </w:rPr>
              <w:t>Obchodné meno / názov uchádzača, sídlo / miesto podnikania uchádzača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b/>
                <w:i/>
              </w:rPr>
              <w:t>Poradie uchádzačov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9724B" w:rsidP="0059724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563A72">
              <w:rPr>
                <w:rFonts w:ascii="Arial" w:hAnsi="Arial" w:cs="Arial"/>
                <w:b/>
                <w:i/>
              </w:rPr>
              <w:t>Návrh kritéria na vyhodnotenie ponúk predložené uchádzačom</w:t>
            </w:r>
          </w:p>
        </w:tc>
      </w:tr>
      <w:tr w:rsidR="0059724B" w:rsidTr="00563A72"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B7D33" w:rsidP="00FB7D3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BELART s.r.o.</w:t>
            </w:r>
          </w:p>
          <w:p w:rsidR="0059724B" w:rsidRPr="00563A72" w:rsidRDefault="00FB7D33" w:rsidP="00FB7D3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Jesenského 30</w:t>
            </w:r>
          </w:p>
          <w:p w:rsidR="00563A72" w:rsidRPr="00563A72" w:rsidRDefault="00FB7D33" w:rsidP="00FB7D3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01 Zlaté Moravce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563A72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95 820,- </w:t>
            </w:r>
            <w:r w:rsidR="00563A72">
              <w:rPr>
                <w:rFonts w:ascii="Arial" w:hAnsi="Arial" w:cs="Arial"/>
                <w:snapToGrid w:val="0"/>
                <w:color w:val="000000"/>
              </w:rPr>
              <w:t xml:space="preserve"> € s DPH</w:t>
            </w:r>
          </w:p>
        </w:tc>
      </w:tr>
      <w:tr w:rsidR="0059724B" w:rsidTr="00563A72"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mpd</w:t>
            </w:r>
            <w:r>
              <w:rPr>
                <w:rFonts w:ascii="Times New Roman" w:hAnsi="Times New Roman"/>
                <w:sz w:val="24"/>
                <w:szCs w:val="24"/>
              </w:rPr>
              <w:t>e, s.r.o.</w:t>
            </w:r>
          </w:p>
          <w:p w:rsid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Tehelná 84</w:t>
            </w:r>
          </w:p>
          <w:p w:rsidR="00563A72" w:rsidRP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 12 Nitra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92 678,40 </w:t>
            </w:r>
            <w:r w:rsidR="00563A72">
              <w:rPr>
                <w:rFonts w:ascii="Arial" w:hAnsi="Arial" w:cs="Arial"/>
                <w:snapToGrid w:val="0"/>
                <w:color w:val="000000"/>
              </w:rPr>
              <w:t xml:space="preserve"> € s DPH</w:t>
            </w:r>
          </w:p>
        </w:tc>
      </w:tr>
      <w:tr w:rsidR="0059724B" w:rsidTr="00563A72"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  NITRA spol.s r.o.</w:t>
            </w:r>
          </w:p>
          <w:p w:rsidR="00563A72" w:rsidRDefault="00FB7D33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Biovetská 32</w:t>
            </w:r>
          </w:p>
          <w:p w:rsidR="00563A72" w:rsidRPr="00563A72" w:rsidRDefault="00F83814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949 05</w:t>
            </w:r>
            <w:r w:rsidR="00563A72">
              <w:rPr>
                <w:rFonts w:ascii="Arial" w:hAnsi="Arial" w:cs="Arial"/>
                <w:snapToGrid w:val="0"/>
                <w:color w:val="000000"/>
              </w:rPr>
              <w:t xml:space="preserve"> Nitra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83814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4B" w:rsidRPr="00563A72" w:rsidRDefault="00F83814" w:rsidP="005972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97 980,- </w:t>
            </w:r>
            <w:r w:rsidR="00563A72">
              <w:rPr>
                <w:rFonts w:ascii="Arial" w:hAnsi="Arial" w:cs="Arial"/>
                <w:snapToGrid w:val="0"/>
                <w:color w:val="000000"/>
              </w:rPr>
              <w:t xml:space="preserve"> € s DPH</w:t>
            </w:r>
          </w:p>
        </w:tc>
      </w:tr>
    </w:tbl>
    <w:p w:rsidR="00367B28" w:rsidRDefault="00367B28" w:rsidP="00367B28">
      <w:pPr>
        <w:rPr>
          <w:snapToGrid w:val="0"/>
          <w:color w:val="000000"/>
          <w:sz w:val="24"/>
          <w:szCs w:val="24"/>
        </w:rPr>
      </w:pPr>
    </w:p>
    <w:p w:rsidR="00563A72" w:rsidRDefault="00C80E34" w:rsidP="00367B28">
      <w:pPr>
        <w:rPr>
          <w:rFonts w:ascii="Arial" w:hAnsi="Arial" w:cs="Arial"/>
        </w:rPr>
      </w:pPr>
      <w:r w:rsidRPr="00C80E34">
        <w:rPr>
          <w:rFonts w:ascii="Arial" w:hAnsi="Arial" w:cs="Arial"/>
        </w:rPr>
        <w:t>Verejný obstarávateľ týmto oznamuje u</w:t>
      </w:r>
      <w:r>
        <w:rPr>
          <w:rFonts w:ascii="Arial" w:hAnsi="Arial" w:cs="Arial"/>
        </w:rPr>
        <w:t xml:space="preserve">chádzačovi </w:t>
      </w:r>
      <w:r w:rsidR="00F83814">
        <w:rPr>
          <w:rFonts w:ascii="Arial" w:hAnsi="Arial" w:cs="Arial"/>
        </w:rPr>
        <w:t xml:space="preserve">BELART  s.r.o., IČO </w:t>
      </w:r>
      <w:r w:rsidR="00F83814">
        <w:rPr>
          <w:rFonts w:ascii="Times New Roman" w:hAnsi="Times New Roman"/>
          <w:sz w:val="24"/>
          <w:szCs w:val="24"/>
        </w:rPr>
        <w:t>48 314 994</w:t>
      </w:r>
      <w:r w:rsidR="00F83814">
        <w:rPr>
          <w:rFonts w:ascii="Arial" w:hAnsi="Arial" w:cs="Arial"/>
        </w:rPr>
        <w:t>, Jesenského 30, 953 01 Zlaté Moravce</w:t>
      </w:r>
      <w:r>
        <w:rPr>
          <w:rFonts w:ascii="Arial" w:hAnsi="Arial" w:cs="Arial"/>
        </w:rPr>
        <w:t>,</w:t>
      </w:r>
      <w:r w:rsidRPr="00C80E34">
        <w:rPr>
          <w:rFonts w:ascii="Arial" w:hAnsi="Arial" w:cs="Arial"/>
        </w:rPr>
        <w:t xml:space="preserve"> že jeho p</w:t>
      </w:r>
      <w:r w:rsidR="00F83814">
        <w:rPr>
          <w:rFonts w:ascii="Arial" w:hAnsi="Arial" w:cs="Arial"/>
        </w:rPr>
        <w:t>onuku v celkovej výške 95 820</w:t>
      </w:r>
      <w:r>
        <w:rPr>
          <w:rFonts w:ascii="Arial" w:hAnsi="Arial" w:cs="Arial"/>
        </w:rPr>
        <w:t>,- € s </w:t>
      </w:r>
      <w:r w:rsidRPr="00C80E34">
        <w:rPr>
          <w:rFonts w:ascii="Arial" w:hAnsi="Arial" w:cs="Arial"/>
        </w:rPr>
        <w:t>DPH</w:t>
      </w:r>
    </w:p>
    <w:p w:rsidR="00C80E34" w:rsidRDefault="00C80E34" w:rsidP="00C80E34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prijíma</w:t>
      </w:r>
    </w:p>
    <w:p w:rsidR="00C80E34" w:rsidRDefault="00C80E34" w:rsidP="00C80E34">
      <w:pPr>
        <w:rPr>
          <w:rFonts w:ascii="Arial" w:hAnsi="Arial" w:cs="Arial"/>
        </w:rPr>
      </w:pPr>
      <w:r>
        <w:rPr>
          <w:rFonts w:ascii="Arial" w:hAnsi="Arial" w:cs="Arial"/>
        </w:rPr>
        <w:t>a vyzýva ho</w:t>
      </w:r>
      <w:r w:rsidRPr="00C80E34">
        <w:rPr>
          <w:rFonts w:ascii="Arial" w:hAnsi="Arial" w:cs="Arial"/>
        </w:rPr>
        <w:t xml:space="preserve"> na podpis zmluvy.</w:t>
      </w:r>
    </w:p>
    <w:p w:rsidR="00C80E34" w:rsidRDefault="00C80E34" w:rsidP="00C80E34">
      <w:pPr>
        <w:rPr>
          <w:rFonts w:ascii="Arial" w:hAnsi="Arial" w:cs="Arial"/>
        </w:rPr>
      </w:pPr>
      <w:r w:rsidRPr="00C80E34">
        <w:rPr>
          <w:rFonts w:ascii="Arial" w:hAnsi="Arial" w:cs="Arial"/>
        </w:rPr>
        <w:t>Informácia o charakteristikách a výhodách prijatej ponuky:</w:t>
      </w:r>
    </w:p>
    <w:p w:rsidR="00C80E34" w:rsidRDefault="00F83814" w:rsidP="00C80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Uchádzač BELART  s.r.o., IČO </w:t>
      </w:r>
      <w:r>
        <w:rPr>
          <w:rFonts w:ascii="Times New Roman" w:hAnsi="Times New Roman"/>
          <w:sz w:val="24"/>
          <w:szCs w:val="24"/>
        </w:rPr>
        <w:t>48 314 994</w:t>
      </w:r>
      <w:r>
        <w:rPr>
          <w:rFonts w:ascii="Arial" w:hAnsi="Arial" w:cs="Arial"/>
        </w:rPr>
        <w:t>, Jesenského 30, 953 01 Zlaté Moravce</w:t>
      </w:r>
      <w:r w:rsidR="00BD3925">
        <w:rPr>
          <w:rFonts w:ascii="Arial" w:hAnsi="Arial" w:cs="Arial"/>
        </w:rPr>
        <w:t xml:space="preserve"> </w:t>
      </w:r>
      <w:r w:rsidR="00C80E34" w:rsidRPr="00C80E34">
        <w:rPr>
          <w:rFonts w:ascii="Arial" w:hAnsi="Arial" w:cs="Arial"/>
        </w:rPr>
        <w:t>predložil vo svojej ponuke celkovú cenu s DPH za pr</w:t>
      </w:r>
      <w:r>
        <w:rPr>
          <w:rFonts w:ascii="Arial" w:hAnsi="Arial" w:cs="Arial"/>
        </w:rPr>
        <w:t>edmet zákazky vo výške 95 820</w:t>
      </w:r>
      <w:r w:rsidR="00C80E34">
        <w:rPr>
          <w:rFonts w:ascii="Arial" w:hAnsi="Arial" w:cs="Arial"/>
        </w:rPr>
        <w:t>,- € s</w:t>
      </w:r>
      <w:r w:rsidR="00C80E34" w:rsidRPr="00C80E34">
        <w:rPr>
          <w:rFonts w:ascii="Arial" w:hAnsi="Arial" w:cs="Arial"/>
        </w:rPr>
        <w:t xml:space="preserve"> DPH, čo bola </w:t>
      </w:r>
      <w:r>
        <w:rPr>
          <w:rFonts w:ascii="Arial" w:hAnsi="Arial" w:cs="Arial"/>
        </w:rPr>
        <w:t>jediná akceptovaná ponuka</w:t>
      </w:r>
      <w:r w:rsidR="00C80E34">
        <w:rPr>
          <w:rFonts w:ascii="Arial" w:hAnsi="Arial" w:cs="Arial"/>
        </w:rPr>
        <w:t xml:space="preserve"> z predložených cenových ponúk </w:t>
      </w:r>
      <w:r w:rsidR="00C80E34" w:rsidRPr="00C80E34">
        <w:rPr>
          <w:rFonts w:ascii="Arial" w:hAnsi="Arial" w:cs="Arial"/>
        </w:rPr>
        <w:t>uchádzačov.</w:t>
      </w:r>
    </w:p>
    <w:p w:rsidR="00C80E34" w:rsidRDefault="00C0465F" w:rsidP="00C80E34">
      <w:pPr>
        <w:rPr>
          <w:rFonts w:ascii="Arial" w:hAnsi="Arial" w:cs="Arial"/>
        </w:rPr>
      </w:pPr>
      <w:r w:rsidRPr="00C0465F">
        <w:rPr>
          <w:rFonts w:ascii="Arial" w:hAnsi="Arial" w:cs="Arial"/>
        </w:rPr>
        <w:t>Komisia konštatovala, že ponuka uch</w:t>
      </w:r>
      <w:r w:rsidR="00F83814">
        <w:rPr>
          <w:rFonts w:ascii="Arial" w:hAnsi="Arial" w:cs="Arial"/>
        </w:rPr>
        <w:t xml:space="preserve">ádzača BELART  s.r.o., IČO </w:t>
      </w:r>
      <w:r w:rsidR="00F83814">
        <w:rPr>
          <w:rFonts w:ascii="Times New Roman" w:hAnsi="Times New Roman"/>
          <w:sz w:val="24"/>
          <w:szCs w:val="24"/>
        </w:rPr>
        <w:t>48 314 994</w:t>
      </w:r>
      <w:r w:rsidR="00F83814">
        <w:rPr>
          <w:rFonts w:ascii="Arial" w:hAnsi="Arial" w:cs="Arial"/>
        </w:rPr>
        <w:t>, Jesenského 30, 953 01 Zlaté Moravce</w:t>
      </w:r>
      <w:r>
        <w:rPr>
          <w:rFonts w:ascii="Arial" w:hAnsi="Arial" w:cs="Arial"/>
        </w:rPr>
        <w:t>,</w:t>
      </w:r>
      <w:r w:rsidRPr="00C0465F">
        <w:rPr>
          <w:rFonts w:ascii="Arial" w:hAnsi="Arial" w:cs="Arial"/>
        </w:rPr>
        <w:t xml:space="preserve"> vyhovuje všetkým požiadavkám a špecifikáciám podľa výzvy na predklad</w:t>
      </w:r>
      <w:r w:rsidR="006B06B9">
        <w:rPr>
          <w:rFonts w:ascii="Arial" w:hAnsi="Arial" w:cs="Arial"/>
        </w:rPr>
        <w:t>anie ponúk spracovanej</w:t>
      </w:r>
      <w:r w:rsidRPr="00C0465F">
        <w:rPr>
          <w:rFonts w:ascii="Arial" w:hAnsi="Arial" w:cs="Arial"/>
        </w:rPr>
        <w:t xml:space="preserve"> k tejto zákazke. Ponuka tohto uchádzača sa v celkovom hodnotení umiestnila na prvom mieste.</w:t>
      </w:r>
    </w:p>
    <w:p w:rsidR="006B06B9" w:rsidRDefault="006B06B9" w:rsidP="00C80E34">
      <w:pPr>
        <w:rPr>
          <w:rFonts w:ascii="Arial" w:hAnsi="Arial" w:cs="Arial"/>
        </w:rPr>
      </w:pPr>
    </w:p>
    <w:p w:rsidR="006B06B9" w:rsidRDefault="006B06B9" w:rsidP="00C80E34">
      <w:pPr>
        <w:rPr>
          <w:rFonts w:ascii="Arial" w:hAnsi="Arial" w:cs="Arial"/>
        </w:rPr>
      </w:pPr>
      <w:r w:rsidRPr="006B06B9">
        <w:rPr>
          <w:rFonts w:ascii="Arial" w:hAnsi="Arial" w:cs="Arial"/>
        </w:rPr>
        <w:lastRenderedPageBreak/>
        <w:t>Verejný obstarávateľ týmto oznamuje uchádzačom: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B06B9" w:rsidTr="006B06B9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814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mpd</w:t>
            </w:r>
            <w:r>
              <w:rPr>
                <w:rFonts w:ascii="Times New Roman" w:hAnsi="Times New Roman"/>
                <w:sz w:val="24"/>
                <w:szCs w:val="24"/>
              </w:rPr>
              <w:t>e, s.r.o.</w:t>
            </w:r>
          </w:p>
          <w:p w:rsidR="00F83814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Tehelná 84</w:t>
            </w:r>
          </w:p>
          <w:p w:rsidR="006B06B9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 12 Nitra</w:t>
            </w:r>
          </w:p>
        </w:tc>
      </w:tr>
      <w:tr w:rsidR="006B06B9" w:rsidTr="006B06B9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814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  NITRA spol.s r.o.</w:t>
            </w:r>
          </w:p>
          <w:p w:rsidR="00F83814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Biovetská 32</w:t>
            </w:r>
          </w:p>
          <w:p w:rsidR="006B06B9" w:rsidRDefault="00F83814" w:rsidP="00F8381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949 05 Nitra</w:t>
            </w:r>
          </w:p>
        </w:tc>
      </w:tr>
    </w:tbl>
    <w:p w:rsidR="006B06B9" w:rsidRDefault="00F83814" w:rsidP="00C80E34">
      <w:pPr>
        <w:rPr>
          <w:rFonts w:ascii="Arial" w:hAnsi="Arial" w:cs="Arial"/>
        </w:rPr>
      </w:pPr>
      <w:r>
        <w:rPr>
          <w:rFonts w:ascii="Arial" w:hAnsi="Arial" w:cs="Arial"/>
        </w:rPr>
        <w:t>že ich ponuky vylučuje z verejného obstarávania</w:t>
      </w:r>
      <w:r w:rsidR="006B06B9">
        <w:rPr>
          <w:rFonts w:ascii="Arial" w:hAnsi="Arial" w:cs="Arial"/>
        </w:rPr>
        <w:t>.</w:t>
      </w:r>
    </w:p>
    <w:p w:rsidR="006B06B9" w:rsidRDefault="006B06B9" w:rsidP="00C80E34">
      <w:pPr>
        <w:rPr>
          <w:rFonts w:ascii="Arial" w:hAnsi="Arial" w:cs="Arial"/>
        </w:rPr>
      </w:pPr>
      <w:r w:rsidRPr="006B06B9">
        <w:rPr>
          <w:rFonts w:ascii="Arial" w:hAnsi="Arial" w:cs="Arial"/>
        </w:rPr>
        <w:t>Dôvody neprijatia ich ponúk:</w:t>
      </w:r>
    </w:p>
    <w:p w:rsidR="000670AB" w:rsidRPr="000670AB" w:rsidRDefault="006B06B9" w:rsidP="000670AB">
      <w:pPr>
        <w:ind w:right="10"/>
        <w:rPr>
          <w:rFonts w:ascii="Arial" w:hAnsi="Arial" w:cs="Arial"/>
        </w:rPr>
      </w:pPr>
      <w:r>
        <w:rPr>
          <w:rFonts w:ascii="Arial" w:hAnsi="Arial" w:cs="Arial"/>
        </w:rPr>
        <w:t>Ponuky uchádzačov</w:t>
      </w:r>
      <w:r w:rsidRPr="006B06B9">
        <w:rPr>
          <w:rFonts w:ascii="Arial" w:hAnsi="Arial" w:cs="Arial"/>
        </w:rPr>
        <w:t>, ktorí predlo</w:t>
      </w:r>
      <w:r>
        <w:rPr>
          <w:rFonts w:ascii="Arial" w:hAnsi="Arial" w:cs="Arial"/>
        </w:rPr>
        <w:t>žili ponuky s celkovou cenou s</w:t>
      </w:r>
      <w:r w:rsidRPr="006B06B9">
        <w:rPr>
          <w:rFonts w:ascii="Arial" w:hAnsi="Arial" w:cs="Arial"/>
        </w:rPr>
        <w:t xml:space="preserve"> DPH za predmet zákazky </w:t>
      </w:r>
      <w:r w:rsidR="00F83814">
        <w:rPr>
          <w:rFonts w:ascii="Arial" w:hAnsi="Arial" w:cs="Arial"/>
        </w:rPr>
        <w:t>neobsa</w:t>
      </w:r>
      <w:r w:rsidR="000670AB">
        <w:rPr>
          <w:rFonts w:ascii="Arial" w:hAnsi="Arial" w:cs="Arial"/>
        </w:rPr>
        <w:t>hovali</w:t>
      </w:r>
      <w:r w:rsidR="00BD3925">
        <w:rPr>
          <w:rFonts w:ascii="Arial" w:hAnsi="Arial" w:cs="Arial"/>
        </w:rPr>
        <w:t xml:space="preserve"> </w:t>
      </w:r>
      <w:r w:rsidR="000670AB" w:rsidRPr="000670AB">
        <w:rPr>
          <w:rFonts w:ascii="Arial" w:hAnsi="Arial" w:cs="Arial"/>
        </w:rPr>
        <w:t>Zoznam uskutočnených stavebných prác za predchádzajúcich päť rokov od vyhláse</w:t>
      </w:r>
      <w:r w:rsidR="000670AB">
        <w:rPr>
          <w:rFonts w:ascii="Arial" w:hAnsi="Arial" w:cs="Arial"/>
        </w:rPr>
        <w:t>nia verejného obstarávania</w:t>
      </w:r>
      <w:r w:rsidR="000670AB" w:rsidRPr="000670AB">
        <w:rPr>
          <w:rFonts w:ascii="Arial" w:hAnsi="Arial" w:cs="Arial"/>
        </w:rPr>
        <w:t>, ktorým preukáže, že uskutočnil stavebné práce na predmete rovnakom alebo obdobnom ako je predmet zákazky a teda, že uskutočňoval výrobu a montáž drevených/kovových konštrukcií najmä vo verejných priestranstvách, pričom zároveň minimálne jedna takto definovaná stavba bola v hodnote rovnakej alebo vyššej ako 20 000,00 EUR  bez DPH.</w:t>
      </w:r>
    </w:p>
    <w:p w:rsidR="006B06B9" w:rsidRDefault="000670AB" w:rsidP="00C80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Uvedený Zoznam uskutočnených stavebných prác uchádzači nepredložili ani po zaslaní výzvy na doplnenie predložených ponúk </w:t>
      </w:r>
      <w:r w:rsidR="006B06B9" w:rsidRPr="006B06B9">
        <w:rPr>
          <w:rFonts w:ascii="Arial" w:hAnsi="Arial" w:cs="Arial"/>
        </w:rPr>
        <w:t>.</w:t>
      </w:r>
    </w:p>
    <w:p w:rsidR="001305A0" w:rsidRDefault="001305A0" w:rsidP="00C80E34">
      <w:pPr>
        <w:rPr>
          <w:rFonts w:ascii="Arial" w:hAnsi="Arial" w:cs="Arial"/>
        </w:rPr>
      </w:pPr>
      <w:r w:rsidRPr="001305A0">
        <w:rPr>
          <w:rFonts w:ascii="Arial" w:hAnsi="Arial" w:cs="Arial"/>
        </w:rPr>
        <w:t>Komisia konštatovala, že</w:t>
      </w:r>
      <w:r>
        <w:rPr>
          <w:rFonts w:ascii="Arial" w:hAnsi="Arial" w:cs="Arial"/>
        </w:rPr>
        <w:t>:</w:t>
      </w:r>
    </w:p>
    <w:p w:rsidR="001305A0" w:rsidRPr="000670AB" w:rsidRDefault="001305A0" w:rsidP="00C80E34">
      <w:pPr>
        <w:rPr>
          <w:rFonts w:ascii="Times New Roman" w:hAnsi="Times New Roman"/>
          <w:sz w:val="24"/>
          <w:szCs w:val="24"/>
        </w:rPr>
      </w:pPr>
      <w:r w:rsidRPr="001305A0">
        <w:rPr>
          <w:rFonts w:ascii="Arial" w:hAnsi="Arial" w:cs="Arial"/>
        </w:rPr>
        <w:t>▪</w:t>
      </w:r>
      <w:r w:rsidR="000670AB">
        <w:rPr>
          <w:rFonts w:ascii="Arial" w:hAnsi="Arial" w:cs="Arial"/>
        </w:rPr>
        <w:t xml:space="preserve"> ponuka uchádzača </w:t>
      </w:r>
      <w:r w:rsidR="000670AB" w:rsidRPr="00BD3925">
        <w:rPr>
          <w:rFonts w:ascii="Arial" w:hAnsi="Arial" w:cs="Arial"/>
          <w:b/>
        </w:rPr>
        <w:t>mpd</w:t>
      </w:r>
      <w:r w:rsidR="000670AB" w:rsidRPr="00BD3925">
        <w:rPr>
          <w:rFonts w:ascii="Arial" w:hAnsi="Arial" w:cs="Arial"/>
        </w:rPr>
        <w:t>e, s.r.o., IČO: 36 704 075, Tehelná 84, 949 12 Nitra</w:t>
      </w:r>
      <w:r w:rsidR="00BD3925">
        <w:rPr>
          <w:rFonts w:ascii="Times New Roman" w:hAnsi="Times New Roman"/>
          <w:sz w:val="24"/>
          <w:szCs w:val="24"/>
        </w:rPr>
        <w:t xml:space="preserve"> </w:t>
      </w:r>
      <w:r w:rsidR="000670AB">
        <w:rPr>
          <w:rFonts w:ascii="Arial" w:hAnsi="Arial" w:cs="Arial"/>
        </w:rPr>
        <w:t>sa vylu</w:t>
      </w:r>
      <w:r w:rsidR="00B8066B">
        <w:rPr>
          <w:rFonts w:ascii="Arial" w:hAnsi="Arial" w:cs="Arial"/>
        </w:rPr>
        <w:t>čuje z verejného obstarávania z dôvodu nesplnenia podmienok účasti podľa § 34 ods. 1 písm. b) ZVO, ktoré verejný obstarávateľ požadoval vo Výzve na predloženie ponúk</w:t>
      </w:r>
      <w:r w:rsidRPr="001305A0">
        <w:rPr>
          <w:rFonts w:ascii="Arial" w:hAnsi="Arial" w:cs="Arial"/>
        </w:rPr>
        <w:t>,</w:t>
      </w:r>
    </w:p>
    <w:p w:rsidR="001305A0" w:rsidRPr="007A1F7B" w:rsidRDefault="00B8066B" w:rsidP="00C80E34">
      <w:pPr>
        <w:rPr>
          <w:rFonts w:ascii="Times New Roman" w:hAnsi="Times New Roman"/>
          <w:sz w:val="24"/>
          <w:szCs w:val="24"/>
        </w:rPr>
      </w:pPr>
      <w:r w:rsidRPr="001305A0">
        <w:rPr>
          <w:rFonts w:ascii="Arial" w:hAnsi="Arial" w:cs="Arial"/>
        </w:rPr>
        <w:t>▪</w:t>
      </w:r>
      <w:r>
        <w:rPr>
          <w:rFonts w:ascii="Arial" w:hAnsi="Arial" w:cs="Arial"/>
        </w:rPr>
        <w:t xml:space="preserve"> ponuka uchádzača </w:t>
      </w:r>
      <w:r w:rsidRPr="00BD3925">
        <w:rPr>
          <w:rFonts w:ascii="Arial" w:hAnsi="Arial" w:cs="Arial"/>
        </w:rPr>
        <w:t>RAU NITRA, spol.s r.o., IČO:31 429 912,  Biovetská 32, 949 05 Nitra</w:t>
      </w:r>
      <w:r>
        <w:rPr>
          <w:rFonts w:ascii="Arial" w:hAnsi="Arial" w:cs="Arial"/>
        </w:rPr>
        <w:t xml:space="preserve"> sa vylučuje z verejného obstarávania z dôvodu nesplnenia podmienok účasti podľa § 34 ods. 1 písm. b) ZVO, ktoré verejný obstarávateľ požadoval vo Výzve na predloženie ponúk</w:t>
      </w:r>
      <w:r w:rsidRPr="001305A0">
        <w:rPr>
          <w:rFonts w:ascii="Arial" w:hAnsi="Arial" w:cs="Arial"/>
        </w:rPr>
        <w:t>,</w:t>
      </w:r>
    </w:p>
    <w:p w:rsidR="007A1F7B" w:rsidRPr="007A1F7B" w:rsidRDefault="001305A0" w:rsidP="007A1F7B">
      <w:pPr>
        <w:rPr>
          <w:rFonts w:ascii="Arial" w:hAnsi="Arial" w:cs="Arial"/>
        </w:rPr>
      </w:pPr>
      <w:r w:rsidRPr="001305A0">
        <w:rPr>
          <w:rFonts w:ascii="Arial" w:hAnsi="Arial" w:cs="Arial"/>
        </w:rPr>
        <w:t>Z týchto dôvodov sú ponuky od uvedených uchádzačov neúspešnými v tomto verejnom obstarávaní.</w:t>
      </w:r>
    </w:p>
    <w:p w:rsidR="007A1F7B" w:rsidRPr="00955881" w:rsidRDefault="007A1F7B" w:rsidP="007A1F7B">
      <w:pPr>
        <w:pStyle w:val="Zkladntext"/>
        <w:spacing w:before="11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7A1F7B" w:rsidRPr="00955881" w:rsidTr="00753405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1F7B" w:rsidRPr="00955881" w:rsidRDefault="007A1F7B" w:rsidP="00753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arch. Peter Mezei</w:t>
            </w:r>
            <w:r w:rsidR="002D62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v.r.</w:t>
            </w:r>
          </w:p>
        </w:tc>
      </w:tr>
      <w:tr w:rsidR="007A1F7B" w:rsidRPr="00955881" w:rsidTr="00753405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1F7B" w:rsidRPr="00955881" w:rsidRDefault="007A1F7B" w:rsidP="0075340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Štefan Lančarič, PhD.</w:t>
            </w:r>
            <w:r w:rsidR="002D62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v.r.</w:t>
            </w:r>
          </w:p>
        </w:tc>
      </w:tr>
      <w:tr w:rsidR="007A1F7B" w:rsidRPr="00955881" w:rsidTr="00753405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1F7B" w:rsidRPr="00955881" w:rsidRDefault="007A1F7B" w:rsidP="0075340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5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arch. Viktor Šabík, AA</w:t>
            </w:r>
            <w:r w:rsidR="002D62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v.r.</w:t>
            </w:r>
          </w:p>
        </w:tc>
      </w:tr>
      <w:tr w:rsidR="007A1F7B" w:rsidRPr="00955881" w:rsidTr="007A1F7B">
        <w:trPr>
          <w:trHeight w:val="88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1F7B" w:rsidRPr="007A1F7B" w:rsidRDefault="007A1F7B" w:rsidP="007A1F7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5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Miroslav Daniš</w:t>
            </w:r>
            <w:r w:rsidR="002D62F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v.r.</w:t>
            </w:r>
            <w:bookmarkStart w:id="0" w:name="_GoBack"/>
            <w:bookmarkEnd w:id="0"/>
          </w:p>
        </w:tc>
      </w:tr>
    </w:tbl>
    <w:p w:rsidR="007A1F7B" w:rsidRPr="00955881" w:rsidRDefault="007A1F7B" w:rsidP="007A1F7B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7A1F7B" w:rsidRPr="00955881" w:rsidRDefault="007A1F7B" w:rsidP="007A1F7B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Zapísal: Ing. Miroslav Daniš</w:t>
      </w:r>
    </w:p>
    <w:p w:rsidR="007A1F7B" w:rsidRPr="00955881" w:rsidRDefault="007A1F7B" w:rsidP="007A1F7B">
      <w:pPr>
        <w:pStyle w:val="Zkladntext"/>
        <w:ind w:firstLine="317"/>
        <w:rPr>
          <w:rFonts w:ascii="Times New Roman" w:hAnsi="Times New Roman"/>
          <w:sz w:val="24"/>
          <w:szCs w:val="24"/>
        </w:rPr>
      </w:pPr>
    </w:p>
    <w:p w:rsidR="007A1F7B" w:rsidRPr="00955881" w:rsidRDefault="007A1F7B" w:rsidP="002D62F6">
      <w:pPr>
        <w:pStyle w:val="Zkladntext"/>
        <w:ind w:firstLine="317"/>
        <w:rPr>
          <w:rFonts w:ascii="Times New Roman" w:hAnsi="Times New Roman"/>
          <w:sz w:val="24"/>
          <w:szCs w:val="24"/>
        </w:rPr>
        <w:sectPr w:rsidR="007A1F7B" w:rsidRPr="00955881">
          <w:headerReference w:type="default" r:id="rId8"/>
          <w:footerReference w:type="default" r:id="rId9"/>
          <w:pgSz w:w="11900" w:h="16838"/>
          <w:pgMar w:top="1315" w:right="1386" w:bottom="398" w:left="1280" w:header="0" w:footer="0" w:gutter="0"/>
          <w:cols w:space="708" w:equalWidth="0">
            <w:col w:w="9240"/>
          </w:cols>
        </w:sectPr>
      </w:pPr>
      <w:r w:rsidRPr="00955881">
        <w:rPr>
          <w:rFonts w:ascii="Times New Roman" w:hAnsi="Times New Roman"/>
          <w:sz w:val="24"/>
          <w:szCs w:val="24"/>
        </w:rPr>
        <w:t xml:space="preserve">V Nitre dňa: </w:t>
      </w:r>
      <w:r w:rsidR="002D62F6">
        <w:rPr>
          <w:rFonts w:ascii="Times New Roman" w:hAnsi="Times New Roman"/>
          <w:sz w:val="24"/>
          <w:szCs w:val="24"/>
        </w:rPr>
        <w:t xml:space="preserve">   20.4.2021</w:t>
      </w:r>
    </w:p>
    <w:p w:rsidR="007A1F7B" w:rsidRPr="001305A0" w:rsidRDefault="007A1F7B" w:rsidP="00C80E34">
      <w:pPr>
        <w:rPr>
          <w:rFonts w:ascii="Arial" w:hAnsi="Arial" w:cs="Arial"/>
        </w:rPr>
      </w:pPr>
    </w:p>
    <w:sectPr w:rsidR="007A1F7B" w:rsidRPr="001305A0" w:rsidSect="00287AAB">
      <w:headerReference w:type="default" r:id="rId10"/>
      <w:headerReference w:type="first" r:id="rId11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71" w:rsidRDefault="00205671">
      <w:r>
        <w:separator/>
      </w:r>
    </w:p>
  </w:endnote>
  <w:endnote w:type="continuationSeparator" w:id="0">
    <w:p w:rsidR="00205671" w:rsidRDefault="0020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7876"/>
      <w:docPartObj>
        <w:docPartGallery w:val="Page Numbers (Bottom of Page)"/>
        <w:docPartUnique/>
      </w:docPartObj>
    </w:sdtPr>
    <w:sdtEndPr/>
    <w:sdtContent>
      <w:p w:rsidR="007A1F7B" w:rsidRDefault="0042675D">
        <w:pPr>
          <w:pStyle w:val="Pta"/>
          <w:jc w:val="center"/>
        </w:pPr>
        <w:r>
          <w:rPr>
            <w:noProof/>
          </w:rPr>
          <w:fldChar w:fldCharType="begin"/>
        </w:r>
        <w:r w:rsidR="007A1F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F7B" w:rsidRDefault="007A1F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71" w:rsidRDefault="00205671">
      <w:r>
        <w:separator/>
      </w:r>
    </w:p>
  </w:footnote>
  <w:footnote w:type="continuationSeparator" w:id="0">
    <w:p w:rsidR="00205671" w:rsidRDefault="0020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7B" w:rsidRDefault="007A1F7B" w:rsidP="000B1C8F">
    <w:pPr>
      <w:pStyle w:val="Hlavika"/>
    </w:pPr>
  </w:p>
  <w:p w:rsidR="007A1F7B" w:rsidRDefault="007A1F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7B" w:rsidRDefault="00205671" w:rsidP="001D3E7B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.1pt;margin-top:7.75pt;width:58.05pt;height:65.55pt;z-index:-25165209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52" DrawAspect="Content" ObjectID="_1681110352" r:id="rId2"/>
      </w:object>
    </w:r>
    <w:r w:rsidR="002D62F6"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A39CE"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w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5/Gk6nYBotPclpOgTjXX+M9ctCkaJJXCOwOS0dT4QIUUfEu5ReiOk&#10;jGJLhboSj2bj6ThmOC0FC94Q5+xhv5IWnUiYl/jFssDzGGb1UbGI1nDC1jfbEyGvNtwuVcCDWoDP&#10;zboOxI95Ol/P1rN8kI8m60GeVtXg02aVDyabbDqunqrVqsp+BmpZXjSCMa4Cu344s/zvxL89k+tY&#10;3cfz3ofkPXpsGJDt/5F0FDPod52EvWaXne1FhnmMwbe3Ewb+cQ/24wtf/gI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Dti&#10;/Bs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1D3E7B" w:rsidRDefault="001D3E7B" w:rsidP="001D3E7B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1D3E7B" w:rsidRDefault="002D62F6" w:rsidP="001D3E7B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  <w:lang w:eastAsia="sk-SK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0A31C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p9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a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AcrTp9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1D3E7B">
      <w:rPr>
        <w:rFonts w:ascii="Toronto" w:hAnsi="Toronto"/>
        <w:b/>
        <w:snapToGrid w:val="0"/>
        <w:color w:val="000000"/>
        <w:sz w:val="16"/>
      </w:rPr>
      <w:tab/>
    </w:r>
  </w:p>
  <w:p w:rsidR="001D3E7B" w:rsidRDefault="001D3E7B" w:rsidP="001D3E7B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1D3E7B" w:rsidRDefault="001D3E7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7B" w:rsidRDefault="00205671" w:rsidP="001D3E7B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6192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81110353" r:id="rId2"/>
      </w:object>
    </w:r>
    <w:r w:rsidR="002D62F6"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E07D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CKl&#10;tRc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1D3E7B" w:rsidRDefault="001D3E7B" w:rsidP="001D3E7B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1D3E7B" w:rsidRDefault="002D62F6" w:rsidP="001D3E7B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  <w:lang w:eastAsia="sk-SK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5F628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bk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Obz8dPTFESjvS8hRZ9orPOfuW5RMEosgXMEJqet84EIKfqQcI/SGyFl&#10;FFsq1JV4PhlNYoLTUrDgDGHOHvYradGJhHGJX6wKPI9hVh8Vi2ANJ2x9sz0R8mrD5VIFPCgF6Nys&#10;6zz8mKfz9Ww9ywf5aLoe5GlVDT5tVvlgusmeJtW4Wq2q7GegluVFIxjjKrDrZzPL/0772yu5TtV9&#10;Ou9tSN6jx34B2f4fSUctg3zXQdhrdtnZXmMYxxh8ezph3h/3YD8+8OUvAA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DG5kbk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1D3E7B">
      <w:rPr>
        <w:rFonts w:ascii="Toronto" w:hAnsi="Toronto"/>
        <w:b/>
        <w:snapToGrid w:val="0"/>
        <w:color w:val="000000"/>
        <w:sz w:val="16"/>
      </w:rPr>
      <w:tab/>
    </w:r>
  </w:p>
  <w:p w:rsidR="001D3E7B" w:rsidRDefault="001D3E7B" w:rsidP="001D3E7B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A"/>
    <w:rsid w:val="00047F22"/>
    <w:rsid w:val="000670AB"/>
    <w:rsid w:val="0007007D"/>
    <w:rsid w:val="000732CF"/>
    <w:rsid w:val="000D3FB8"/>
    <w:rsid w:val="000E05AF"/>
    <w:rsid w:val="001221EC"/>
    <w:rsid w:val="001305A0"/>
    <w:rsid w:val="00131C69"/>
    <w:rsid w:val="00154E2F"/>
    <w:rsid w:val="001B059A"/>
    <w:rsid w:val="001B7628"/>
    <w:rsid w:val="001D3E7B"/>
    <w:rsid w:val="00205671"/>
    <w:rsid w:val="00215572"/>
    <w:rsid w:val="00287AAB"/>
    <w:rsid w:val="002B43F8"/>
    <w:rsid w:val="002D62F6"/>
    <w:rsid w:val="002E69E8"/>
    <w:rsid w:val="00367B28"/>
    <w:rsid w:val="00390A44"/>
    <w:rsid w:val="00392976"/>
    <w:rsid w:val="003E1C72"/>
    <w:rsid w:val="0042675D"/>
    <w:rsid w:val="00430421"/>
    <w:rsid w:val="00462136"/>
    <w:rsid w:val="004A36FD"/>
    <w:rsid w:val="004B3F90"/>
    <w:rsid w:val="004C1732"/>
    <w:rsid w:val="004D7F31"/>
    <w:rsid w:val="0053501A"/>
    <w:rsid w:val="00563A72"/>
    <w:rsid w:val="0059724B"/>
    <w:rsid w:val="005A6AA8"/>
    <w:rsid w:val="005C38FF"/>
    <w:rsid w:val="005C606A"/>
    <w:rsid w:val="00625424"/>
    <w:rsid w:val="006B06B9"/>
    <w:rsid w:val="006B47E7"/>
    <w:rsid w:val="00772264"/>
    <w:rsid w:val="00794BA5"/>
    <w:rsid w:val="007A1F7B"/>
    <w:rsid w:val="007F6922"/>
    <w:rsid w:val="0081344D"/>
    <w:rsid w:val="008457D4"/>
    <w:rsid w:val="00861EF2"/>
    <w:rsid w:val="00917B35"/>
    <w:rsid w:val="00982C25"/>
    <w:rsid w:val="009A7414"/>
    <w:rsid w:val="009D0A22"/>
    <w:rsid w:val="00A22886"/>
    <w:rsid w:val="00AA64B9"/>
    <w:rsid w:val="00AB15FE"/>
    <w:rsid w:val="00AF4E87"/>
    <w:rsid w:val="00B54EED"/>
    <w:rsid w:val="00B8066B"/>
    <w:rsid w:val="00BD3925"/>
    <w:rsid w:val="00C0465F"/>
    <w:rsid w:val="00C06C55"/>
    <w:rsid w:val="00C22E49"/>
    <w:rsid w:val="00C25D34"/>
    <w:rsid w:val="00C558FC"/>
    <w:rsid w:val="00C80E34"/>
    <w:rsid w:val="00D06944"/>
    <w:rsid w:val="00D07A13"/>
    <w:rsid w:val="00D328FE"/>
    <w:rsid w:val="00D44386"/>
    <w:rsid w:val="00D75C32"/>
    <w:rsid w:val="00E32282"/>
    <w:rsid w:val="00F34664"/>
    <w:rsid w:val="00F430DB"/>
    <w:rsid w:val="00F44E2A"/>
    <w:rsid w:val="00F83814"/>
    <w:rsid w:val="00F93E62"/>
    <w:rsid w:val="00FA0D02"/>
    <w:rsid w:val="00FB6BA9"/>
    <w:rsid w:val="00FB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6D842F4-FE60-4265-B236-012AD13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0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287A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k-SK"/>
    </w:rPr>
  </w:style>
  <w:style w:type="paragraph" w:styleId="Nadpis2">
    <w:name w:val="heading 2"/>
    <w:basedOn w:val="Normlny"/>
    <w:next w:val="Normlny"/>
    <w:qFormat/>
    <w:rsid w:val="00287AAB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qFormat/>
    <w:rsid w:val="00287AAB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paragraph" w:styleId="Nadpis4">
    <w:name w:val="heading 4"/>
    <w:basedOn w:val="Normlny"/>
    <w:next w:val="Normlny"/>
    <w:qFormat/>
    <w:rsid w:val="00287A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paragraph" w:styleId="Nadpis5">
    <w:name w:val="heading 5"/>
    <w:basedOn w:val="Normlny"/>
    <w:next w:val="Normlny"/>
    <w:qFormat/>
    <w:rsid w:val="00287AAB"/>
    <w:pPr>
      <w:keepNext/>
      <w:numPr>
        <w:ilvl w:val="12"/>
      </w:numPr>
      <w:spacing w:after="0" w:line="240" w:lineRule="auto"/>
      <w:ind w:left="538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qFormat/>
    <w:rsid w:val="00287AAB"/>
    <w:pPr>
      <w:keepNext/>
      <w:tabs>
        <w:tab w:val="left" w:pos="1134"/>
        <w:tab w:val="left" w:pos="3261"/>
        <w:tab w:val="left" w:pos="5103"/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87A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87A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31C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59724B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724B"/>
    <w:rPr>
      <w:rFonts w:ascii="Arial" w:eastAsia="Arial" w:hAnsi="Arial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7A1F7B"/>
  </w:style>
  <w:style w:type="character" w:customStyle="1" w:styleId="PtaChar">
    <w:name w:val="Päta Char"/>
    <w:basedOn w:val="Predvolenpsmoodseku"/>
    <w:link w:val="Pta"/>
    <w:uiPriority w:val="99"/>
    <w:rsid w:val="007A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FA77-AB99-4413-8D0F-EE0D6EC3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creator>Ondrejička Miroslav, Ing.</dc:creator>
  <cp:lastModifiedBy>Daniš Miroslav, Ing.</cp:lastModifiedBy>
  <cp:revision>2</cp:revision>
  <cp:lastPrinted>2021-04-21T07:53:00Z</cp:lastPrinted>
  <dcterms:created xsi:type="dcterms:W3CDTF">2021-04-28T08:19:00Z</dcterms:created>
  <dcterms:modified xsi:type="dcterms:W3CDTF">2021-04-28T08:19:00Z</dcterms:modified>
</cp:coreProperties>
</file>