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20002A87" w:usb1="00000000" w:usb2="00000000"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5A97" w14:textId="77777777" w:rsidR="00B64468" w:rsidRDefault="00B644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01F84980" w:rsidR="00394DF5" w:rsidRPr="00B64468" w:rsidRDefault="00B64468" w:rsidP="00B64468">
    <w:pPr>
      <w:pStyle w:val="Zpat"/>
    </w:pPr>
    <w:r w:rsidRPr="00B64468">
      <w:rPr>
        <w:rFonts w:ascii="Arial" w:hAnsi="Arial" w:cs="Arial"/>
        <w:i/>
        <w:iCs/>
        <w:sz w:val="20"/>
      </w:rPr>
      <w:t>Město Šternberk – Stavební úpravy komunikace ul. Za Zahradami, Labutí, Kollárova, alej Masarykova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0439" w14:textId="77777777" w:rsidR="00B64468" w:rsidRDefault="00B644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697C" w14:textId="77777777" w:rsidR="00B64468" w:rsidRDefault="00B644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8DE4" w14:textId="77777777" w:rsidR="00B64468" w:rsidRDefault="00B6446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EEA4D" w14:textId="77777777" w:rsidR="00B64468" w:rsidRDefault="00B644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F2F6D"/>
    <w:rsid w:val="007A66A1"/>
    <w:rsid w:val="007B779A"/>
    <w:rsid w:val="00841986"/>
    <w:rsid w:val="008E6207"/>
    <w:rsid w:val="00953DB6"/>
    <w:rsid w:val="009716FB"/>
    <w:rsid w:val="009C5C7C"/>
    <w:rsid w:val="009D70B2"/>
    <w:rsid w:val="00A53161"/>
    <w:rsid w:val="00A55A30"/>
    <w:rsid w:val="00A64086"/>
    <w:rsid w:val="00AF2440"/>
    <w:rsid w:val="00B426C5"/>
    <w:rsid w:val="00B535EB"/>
    <w:rsid w:val="00B64468"/>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7</cp:revision>
  <cp:lastPrinted>2019-06-27T05:25:00Z</cp:lastPrinted>
  <dcterms:created xsi:type="dcterms:W3CDTF">2020-05-27T06:06:00Z</dcterms:created>
  <dcterms:modified xsi:type="dcterms:W3CDTF">2021-05-17T13:53:00Z</dcterms:modified>
</cp:coreProperties>
</file>