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B469" w14:textId="3E34B027" w:rsidR="00A7346E" w:rsidRDefault="00A7346E" w:rsidP="00F5274E">
      <w:pPr>
        <w:tabs>
          <w:tab w:val="left" w:pos="6521"/>
        </w:tabs>
        <w:spacing w:after="0"/>
        <w:contextualSpacing w:val="0"/>
        <w:rPr>
          <w:color w:val="auto"/>
          <w:shd w:val="clear" w:color="auto" w:fill="FFFFFF"/>
        </w:rPr>
      </w:pPr>
    </w:p>
    <w:p w14:paraId="68BA6992" w14:textId="77777777" w:rsidR="00A7346E" w:rsidRDefault="00A7346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</w:p>
    <w:p w14:paraId="333FE745" w14:textId="5D92A46F" w:rsidR="008C1621" w:rsidRPr="00D075CC" w:rsidRDefault="00A7346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D075CC">
        <w:rPr>
          <w:color w:val="auto"/>
          <w:shd w:val="clear" w:color="auto" w:fill="FFFFFF"/>
        </w:rPr>
        <w:t xml:space="preserve">Bratislava, </w:t>
      </w:r>
      <w:r w:rsidR="004D390E" w:rsidRPr="00D075CC">
        <w:t>1</w:t>
      </w:r>
      <w:r w:rsidR="005A2320">
        <w:t>6</w:t>
      </w:r>
      <w:r w:rsidR="004D390E" w:rsidRPr="00D075CC">
        <w:t>.06.2021</w:t>
      </w:r>
    </w:p>
    <w:p w14:paraId="5314C37E" w14:textId="2CE15CE9" w:rsidR="00363BBC" w:rsidRPr="00D075CC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D075CC">
        <w:rPr>
          <w:color w:val="auto"/>
          <w:shd w:val="clear" w:color="auto" w:fill="FFFFFF"/>
        </w:rPr>
        <w:tab/>
      </w:r>
      <w:r w:rsidR="00363BBC" w:rsidRPr="00D075CC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D075CC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D075CC">
        <w:rPr>
          <w:color w:val="auto"/>
          <w:shd w:val="clear" w:color="auto" w:fill="FFFFFF"/>
        </w:rPr>
        <w:tab/>
      </w:r>
      <w:r w:rsidR="00363BBC" w:rsidRPr="00D075CC">
        <w:rPr>
          <w:color w:val="auto"/>
          <w:shd w:val="clear" w:color="auto" w:fill="FFFFFF"/>
        </w:rPr>
        <w:tab/>
      </w:r>
      <w:r w:rsidR="00363BBC" w:rsidRPr="00D075CC">
        <w:rPr>
          <w:color w:val="auto"/>
          <w:shd w:val="clear" w:color="auto" w:fill="FFFFFF"/>
        </w:rPr>
        <w:tab/>
      </w:r>
    </w:p>
    <w:p w14:paraId="718CB7D5" w14:textId="77777777" w:rsidR="008C1621" w:rsidRPr="00D075CC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2369D1F6" w:rsidR="008C1621" w:rsidRPr="00D075CC" w:rsidRDefault="008C1621" w:rsidP="001814AD">
      <w:pPr>
        <w:pStyle w:val="Nadpis1"/>
        <w:rPr>
          <w:shd w:val="clear" w:color="auto" w:fill="FFFFFF"/>
        </w:rPr>
      </w:pPr>
      <w:r w:rsidRPr="00D075CC">
        <w:rPr>
          <w:shd w:val="clear" w:color="auto" w:fill="FFFFFF"/>
        </w:rPr>
        <w:t xml:space="preserve">Vysvetlenie </w:t>
      </w:r>
      <w:r w:rsidR="00E02541" w:rsidRPr="00D075CC">
        <w:rPr>
          <w:shd w:val="clear" w:color="auto" w:fill="FFFFFF"/>
        </w:rPr>
        <w:t>súťažných podkladov</w:t>
      </w:r>
      <w:r w:rsidR="00417C4C" w:rsidRPr="00D075CC">
        <w:rPr>
          <w:shd w:val="clear" w:color="auto" w:fill="FFFFFF"/>
        </w:rPr>
        <w:t xml:space="preserve"> </w:t>
      </w:r>
      <w:r w:rsidR="004D390E" w:rsidRPr="00D075CC">
        <w:rPr>
          <w:shd w:val="clear" w:color="auto" w:fill="FFFFFF"/>
        </w:rPr>
        <w:t>č. 1</w:t>
      </w:r>
    </w:p>
    <w:p w14:paraId="586B0159" w14:textId="77777777" w:rsidR="008C1621" w:rsidRPr="00D075CC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678D0BE7" w:rsidR="008C1621" w:rsidRPr="00D075CC" w:rsidRDefault="00932528" w:rsidP="004D390E">
      <w:pPr>
        <w:spacing w:before="160" w:after="160"/>
        <w:contextualSpacing w:val="0"/>
        <w:jc w:val="both"/>
        <w:rPr>
          <w:bCs/>
        </w:rPr>
      </w:pPr>
      <w:r w:rsidRPr="00D075CC">
        <w:t xml:space="preserve">Vo verejnom obstarávaní na predmet </w:t>
      </w:r>
      <w:r w:rsidRPr="00D075CC">
        <w:rPr>
          <w:color w:val="auto"/>
        </w:rPr>
        <w:t xml:space="preserve">zákazky </w:t>
      </w:r>
      <w:r w:rsidR="002614A9" w:rsidRPr="00D075CC">
        <w:rPr>
          <w:color w:val="auto"/>
        </w:rPr>
        <w:t>„</w:t>
      </w:r>
      <w:bookmarkStart w:id="0" w:name="_Hlk70600966"/>
      <w:r w:rsidR="004D390E" w:rsidRPr="00D075CC">
        <w:rPr>
          <w:b/>
          <w:bCs/>
          <w:color w:val="auto"/>
        </w:rPr>
        <w:t>Projektová dokumentácia pre rekonštrukciu administratívnej budovy na Technickej ulici č. 6</w:t>
      </w:r>
      <w:bookmarkEnd w:id="0"/>
      <w:r w:rsidR="008C1621" w:rsidRPr="00D075CC">
        <w:rPr>
          <w:color w:val="auto"/>
        </w:rPr>
        <w:t>“</w:t>
      </w:r>
      <w:r w:rsidR="00C77C75" w:rsidRPr="00D075CC">
        <w:rPr>
          <w:color w:val="auto"/>
        </w:rPr>
        <w:t>,</w:t>
      </w:r>
      <w:r w:rsidR="008C1621" w:rsidRPr="00D075CC">
        <w:rPr>
          <w:color w:val="auto"/>
        </w:rPr>
        <w:t xml:space="preserve"> </w:t>
      </w:r>
      <w:r w:rsidR="002614A9" w:rsidRPr="00D075CC">
        <w:rPr>
          <w:color w:val="auto"/>
        </w:rPr>
        <w:t>vyhlásenej vo Vestníku</w:t>
      </w:r>
      <w:r w:rsidR="004D390E" w:rsidRPr="00D075CC">
        <w:rPr>
          <w:color w:val="auto"/>
        </w:rPr>
        <w:t xml:space="preserve"> </w:t>
      </w:r>
      <w:r w:rsidR="002614A9" w:rsidRPr="00D075CC">
        <w:rPr>
          <w:color w:val="auto"/>
        </w:rPr>
        <w:t xml:space="preserve">verejného obstarávania </w:t>
      </w:r>
      <w:r w:rsidR="00A7346E" w:rsidRPr="00D075CC">
        <w:rPr>
          <w:color w:val="auto"/>
          <w:shd w:val="clear" w:color="auto" w:fill="FFFFFF"/>
        </w:rPr>
        <w:t xml:space="preserve">135/2021 - 08.06.2021 </w:t>
      </w:r>
      <w:r w:rsidR="004D390E" w:rsidRPr="00D075CC">
        <w:rPr>
          <w:color w:val="auto"/>
        </w:rPr>
        <w:t>pod značkou</w:t>
      </w:r>
      <w:r w:rsidR="004B7959" w:rsidRPr="00D075CC">
        <w:rPr>
          <w:color w:val="auto"/>
        </w:rPr>
        <w:t xml:space="preserve"> </w:t>
      </w:r>
      <w:r w:rsidR="00A7346E" w:rsidRPr="00D075CC">
        <w:rPr>
          <w:color w:val="auto"/>
          <w:shd w:val="clear" w:color="auto" w:fill="FFFFFF"/>
        </w:rPr>
        <w:t xml:space="preserve">28918 – WYS, </w:t>
      </w:r>
      <w:r w:rsidR="0017665D" w:rsidRPr="00D075CC">
        <w:rPr>
          <w:color w:val="auto"/>
        </w:rPr>
        <w:t xml:space="preserve">boli </w:t>
      </w:r>
      <w:r w:rsidR="0017665D" w:rsidRPr="00D075CC">
        <w:t>doručené nasledovné otázky</w:t>
      </w:r>
      <w:r w:rsidR="003073AA" w:rsidRPr="00D075CC">
        <w:t>:</w:t>
      </w:r>
    </w:p>
    <w:p w14:paraId="75827D15" w14:textId="5AC47247" w:rsidR="00936EDD" w:rsidRPr="00D075CC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D075CC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075CC">
        <w:rPr>
          <w:b/>
          <w:bCs/>
          <w:color w:val="auto"/>
        </w:rPr>
        <w:t xml:space="preserve">Otázka č. </w:t>
      </w:r>
      <w:r w:rsidR="004D390E" w:rsidRPr="00D075CC">
        <w:rPr>
          <w:b/>
          <w:bCs/>
          <w:color w:val="auto"/>
        </w:rPr>
        <w:t>1</w:t>
      </w:r>
      <w:r w:rsidRPr="00D075CC">
        <w:rPr>
          <w:b/>
          <w:bCs/>
          <w:color w:val="auto"/>
        </w:rPr>
        <w:t>:</w:t>
      </w:r>
    </w:p>
    <w:p w14:paraId="235337F7" w14:textId="77777777" w:rsidR="00420E08" w:rsidRPr="00D075CC" w:rsidRDefault="00420E08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D075CC">
        <w:rPr>
          <w:color w:val="auto"/>
          <w:shd w:val="clear" w:color="auto" w:fill="FFFFFF"/>
        </w:rPr>
        <w:t>V súťažných podkladoch na str. 11, časť C, uvádzate ako prvé kritérium „Celková cena za predmet...“ s váhou 85 bodov (85%).</w:t>
      </w:r>
      <w:r w:rsidRPr="00D075CC">
        <w:rPr>
          <w:color w:val="auto"/>
        </w:rPr>
        <w:t xml:space="preserve"> </w:t>
      </w:r>
      <w:r w:rsidRPr="00D075CC">
        <w:rPr>
          <w:color w:val="auto"/>
          <w:shd w:val="clear" w:color="auto" w:fill="FFFFFF"/>
        </w:rPr>
        <w:t>Z nižšie uvedeného vzorca ale vyplýva, že sa nejedná o „celkovú cenu...“, ale o rozdiel medzi maximálnou hodnotou určenou obstarávateľom a ponukovou hodnotou stanovenou uchádzačom. Tento rozpor v definícii K1 má za následok, že na to aby mohol uchádzač získať 85 bodov, musel by ponúknuť cenu vo výške nula €.</w:t>
      </w:r>
      <w:r w:rsidRPr="00D075CC">
        <w:rPr>
          <w:color w:val="auto"/>
        </w:rPr>
        <w:br/>
      </w:r>
      <w:r w:rsidRPr="00D075CC">
        <w:rPr>
          <w:color w:val="auto"/>
          <w:shd w:val="clear" w:color="auto" w:fill="FFFFFF"/>
        </w:rPr>
        <w:t>To už by sa nejednalo o súťaž na dodávateľa služieb, ale hľadanie darcu, nepodpisovala sa zmluva o dielo, ale darovacia zmluva a nepostupovalo by sa podľa zákona o VO...</w:t>
      </w:r>
      <w:r w:rsidRPr="00D075CC">
        <w:rPr>
          <w:color w:val="auto"/>
        </w:rPr>
        <w:br/>
      </w:r>
      <w:r w:rsidRPr="00D075CC">
        <w:rPr>
          <w:color w:val="auto"/>
        </w:rPr>
        <w:br/>
      </w:r>
      <w:r w:rsidRPr="00D075CC">
        <w:rPr>
          <w:color w:val="auto"/>
          <w:shd w:val="clear" w:color="auto" w:fill="FFFFFF"/>
        </w:rPr>
        <w:t>V SP uvádzate, že hodnota K1 má váhu 85%, K2 má váhu 10% a K3 má váhu 5% (str. 11 a 12 SP)</w:t>
      </w:r>
      <w:r w:rsidRPr="00D075CC">
        <w:rPr>
          <w:color w:val="auto"/>
        </w:rPr>
        <w:t xml:space="preserve">. </w:t>
      </w:r>
      <w:r w:rsidRPr="00D075CC">
        <w:rPr>
          <w:color w:val="auto"/>
          <w:shd w:val="clear" w:color="auto" w:fill="FFFFFF"/>
        </w:rPr>
        <w:t>V prípade, že platí vzorec na výpočet K1, tak tieto percentá sa výrazne menia.</w:t>
      </w:r>
      <w:r w:rsidRPr="00D075CC">
        <w:rPr>
          <w:color w:val="auto"/>
        </w:rPr>
        <w:br/>
      </w:r>
      <w:r w:rsidRPr="00D075CC">
        <w:rPr>
          <w:color w:val="auto"/>
          <w:shd w:val="clear" w:color="auto" w:fill="FFFFFF"/>
        </w:rPr>
        <w:t>Argument, že rovnaké podmienky platia pre všetkých uchádzačov, podľa našej mienky je otázny, nakoľko:</w:t>
      </w:r>
      <w:r w:rsidRPr="00D075CC">
        <w:rPr>
          <w:color w:val="auto"/>
        </w:rPr>
        <w:t xml:space="preserve"> </w:t>
      </w:r>
      <w:r w:rsidRPr="00D075CC">
        <w:rPr>
          <w:color w:val="auto"/>
          <w:shd w:val="clear" w:color="auto" w:fill="FFFFFF"/>
        </w:rPr>
        <w:t>V kontexte § 53 ZVO musí obstarávateľ zohľadňovať „neobvykle nízku cenu“, preto ponukové ceny sa nemôžu blížiť k nule, ale reálne skôr od 50% do 100% maximálnej predpokladanej ceny, ktorú si určil obstarávateľ. Tomu odpovedajú pridelené body za K1 v rozmedzí 42,5 až 0 bodov. Preto sa hodnota K1 sa bude v skutočnosti výrazne znižovať a váha kritérií K2 a K3 výrazne zvyšovať. čo je v výrazne rozpore s tvrdením obstarávateľa v SP s výškou váhy v % pre jednotlivé kritériá.</w:t>
      </w:r>
    </w:p>
    <w:p w14:paraId="1FA0BB90" w14:textId="1DCD3D7C" w:rsidR="00420E08" w:rsidRPr="00D075CC" w:rsidRDefault="00420E08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  <w:shd w:val="clear" w:color="auto" w:fill="FFFFFF"/>
        </w:rPr>
      </w:pPr>
      <w:r w:rsidRPr="00D075CC">
        <w:rPr>
          <w:color w:val="auto"/>
          <w:shd w:val="clear" w:color="auto" w:fill="FFFFFF"/>
        </w:rPr>
        <w:t>Pýtame sa preto:</w:t>
      </w:r>
      <w:r w:rsidRPr="00D075CC">
        <w:rPr>
          <w:color w:val="auto"/>
        </w:rPr>
        <w:t xml:space="preserve"> </w:t>
      </w:r>
      <w:r w:rsidRPr="00D075CC">
        <w:rPr>
          <w:color w:val="auto"/>
          <w:shd w:val="clear" w:color="auto" w:fill="FFFFFF"/>
        </w:rPr>
        <w:t>či bolo naozaj záujmom obstarávateľa použitím vzorca pre výpočet K1 výrazne meniť váhu K2 a K3 v neprospech K1?</w:t>
      </w:r>
    </w:p>
    <w:p w14:paraId="156447D3" w14:textId="17187081" w:rsidR="00CB4725" w:rsidRPr="00D075CC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D075CC">
        <w:rPr>
          <w:b/>
          <w:bCs/>
          <w:color w:val="auto"/>
        </w:rPr>
        <w:t xml:space="preserve">Odpoveď č. </w:t>
      </w:r>
      <w:r w:rsidR="004D390E" w:rsidRPr="00D075CC">
        <w:rPr>
          <w:b/>
          <w:bCs/>
          <w:color w:val="auto"/>
        </w:rPr>
        <w:t>1</w:t>
      </w:r>
      <w:r w:rsidRPr="00D075CC">
        <w:rPr>
          <w:b/>
          <w:bCs/>
          <w:color w:val="auto"/>
        </w:rPr>
        <w:t>:</w:t>
      </w:r>
    </w:p>
    <w:p w14:paraId="06153E85" w14:textId="646045FF" w:rsidR="0055006C" w:rsidRPr="00D075CC" w:rsidRDefault="0055006C" w:rsidP="0055006C">
      <w:pPr>
        <w:spacing w:after="0"/>
        <w:contextualSpacing w:val="0"/>
        <w:jc w:val="both"/>
      </w:pPr>
      <w:r w:rsidRPr="00D075CC">
        <w:rPr>
          <w:color w:val="000000"/>
        </w:rPr>
        <w:t xml:space="preserve">Verejný obstarávateľ nepredpokladá, a rozhodne neodporúča, aby niektorý z uchádzačov svoje služby poskytoval za cenu 0,- eur, resp. za sumu, ktorá by bola v rozpore s ustanoveniami všeobecne záväzných právnych predpisov alebo v rozpore s dobrými mravmi. V prípade, ak uchádzač vo svojom návrhu na plnenie kritérií uvedie takúto sumu, verejný obstarávateľ pristúpi k žiadosti o vysvetlenie mimoriadne nízkej ponuky. </w:t>
      </w:r>
    </w:p>
    <w:p w14:paraId="42B9A734" w14:textId="77777777" w:rsidR="0055006C" w:rsidRPr="00D075CC" w:rsidRDefault="0055006C" w:rsidP="0055006C">
      <w:pPr>
        <w:jc w:val="both"/>
      </w:pPr>
    </w:p>
    <w:p w14:paraId="010F406A" w14:textId="66E33C45" w:rsidR="00ED1C6A" w:rsidRDefault="0055006C" w:rsidP="0055006C">
      <w:pPr>
        <w:autoSpaceDE w:val="0"/>
        <w:autoSpaceDN w:val="0"/>
        <w:adjustRightInd w:val="0"/>
        <w:contextualSpacing w:val="0"/>
        <w:jc w:val="both"/>
      </w:pPr>
      <w:r w:rsidRPr="00D075CC">
        <w:t>Maximálny počet 85 bodov za kritérium č. 1 (</w:t>
      </w:r>
      <w:r w:rsidRPr="00D075CC">
        <w:rPr>
          <w:color w:val="000000"/>
        </w:rPr>
        <w:t>Celková cena za predmet zákazky v eurách s DPH</w:t>
      </w:r>
      <w:r w:rsidRPr="00D075CC">
        <w:t xml:space="preserve">) za cenu 0,- eur bol určený výlučne </w:t>
      </w:r>
      <w:r w:rsidRPr="00D075CC">
        <w:rPr>
          <w:b/>
        </w:rPr>
        <w:t>z matematických dôvodov</w:t>
      </w:r>
      <w:r w:rsidRPr="00D075CC">
        <w:t xml:space="preserve">, a to pre účely stanovenia nezávislého vzorca na výpočet počtu bodov uchádzača za dané kritérium. </w:t>
      </w:r>
      <w:r w:rsidR="00ED1C6A">
        <w:t xml:space="preserve">Výhodou použitia </w:t>
      </w:r>
      <w:r w:rsidR="00ED1C6A">
        <w:lastRenderedPageBreak/>
        <w:t xml:space="preserve">nezávislého vzorca je, že počet bodov jedného uchádzač </w:t>
      </w:r>
      <w:r w:rsidR="00ED1C6A" w:rsidRPr="005A2320">
        <w:rPr>
          <w:b/>
          <w:bCs/>
        </w:rPr>
        <w:t>nezávisí od ponuky iného uchádzača</w:t>
      </w:r>
      <w:r w:rsidR="00ED1C6A">
        <w:t xml:space="preserve">. Inými slovami, uchádzač už v čase predkladania ponuky </w:t>
      </w:r>
      <w:r w:rsidR="00437B2B">
        <w:t xml:space="preserve">presne </w:t>
      </w:r>
      <w:r w:rsidR="00ED1C6A">
        <w:t xml:space="preserve">vie, aký počet bodov za svoju ponukovú cenu dostane, čo mu umožňuje strategicky premýšľať v snahe čo najviac zvýšiť svoje šance. </w:t>
      </w:r>
    </w:p>
    <w:p w14:paraId="0708D548" w14:textId="58B6F82E" w:rsidR="0055006C" w:rsidRPr="00D075CC" w:rsidRDefault="0055006C" w:rsidP="0055006C">
      <w:pPr>
        <w:autoSpaceDE w:val="0"/>
        <w:autoSpaceDN w:val="0"/>
        <w:adjustRightInd w:val="0"/>
        <w:jc w:val="both"/>
        <w:rPr>
          <w:color w:val="000000"/>
        </w:rPr>
      </w:pPr>
      <w:r w:rsidRPr="00D075CC">
        <w:t xml:space="preserve">Vzhľadom na uvedené je zrejmé, že </w:t>
      </w:r>
      <w:r w:rsidRPr="00D075CC">
        <w:rPr>
          <w:b/>
        </w:rPr>
        <w:t>uchádzač, ktorý vypracuje svoju ponuku v súlade so všeobecne záväznými predpismi a pokynmi verejného obstarávateľa</w:t>
      </w:r>
      <w:r w:rsidR="009A3186" w:rsidRPr="00D075CC">
        <w:rPr>
          <w:b/>
        </w:rPr>
        <w:t xml:space="preserve">, </w:t>
      </w:r>
      <w:r w:rsidRPr="00D075CC">
        <w:rPr>
          <w:b/>
        </w:rPr>
        <w:t xml:space="preserve">nemôže za dané kritérium získať </w:t>
      </w:r>
      <w:r w:rsidR="009A3186" w:rsidRPr="00D075CC">
        <w:rPr>
          <w:b/>
        </w:rPr>
        <w:t>85</w:t>
      </w:r>
      <w:r w:rsidRPr="00D075CC">
        <w:rPr>
          <w:b/>
        </w:rPr>
        <w:t xml:space="preserve">, či </w:t>
      </w:r>
      <w:r w:rsidR="009A3186" w:rsidRPr="00D075CC">
        <w:rPr>
          <w:b/>
        </w:rPr>
        <w:t>80</w:t>
      </w:r>
      <w:r w:rsidRPr="00D075CC">
        <w:rPr>
          <w:b/>
        </w:rPr>
        <w:t xml:space="preserve"> bodov a pod. a verejný obstarávateľ si to ani neželá.</w:t>
      </w:r>
      <w:r w:rsidRPr="00D075CC">
        <w:t xml:space="preserve"> Vzhľadom na to, že verejný obstarávateľ nechcel stanoviť presnou sumou najnižšiu možnú </w:t>
      </w:r>
      <w:r w:rsidR="009A3186" w:rsidRPr="00D075CC">
        <w:t>celkovú cenu</w:t>
      </w:r>
      <w:r w:rsidRPr="00D075CC">
        <w:t xml:space="preserve"> uchádzača, tak ako je tomu v prípade najvyššie možnej </w:t>
      </w:r>
      <w:r w:rsidR="009A3186" w:rsidRPr="00D075CC">
        <w:t>celkovej ceny</w:t>
      </w:r>
      <w:r w:rsidRPr="00D075CC">
        <w:t xml:space="preserve"> (max. </w:t>
      </w:r>
      <w:r w:rsidR="009A3186" w:rsidRPr="00D075CC">
        <w:t>76 200,-</w:t>
      </w:r>
      <w:r w:rsidRPr="00D075CC">
        <w:t xml:space="preserve"> eur s DPH), ponechal na uváženie uchádzačov akú si stanovia </w:t>
      </w:r>
      <w:r w:rsidR="009A3186" w:rsidRPr="00D075CC">
        <w:t>cenu</w:t>
      </w:r>
      <w:r w:rsidRPr="00D075CC">
        <w:t xml:space="preserve"> za služby, ktoré sú predmetom zákazky, avšak táto musí byť určená v súlade so všeobecne záväznými predpismi a pokynmi verejného obstarávateľa uvedenými </w:t>
      </w:r>
      <w:r w:rsidR="009A3186" w:rsidRPr="00D075CC">
        <w:t>v súťažných podkladoch a</w:t>
      </w:r>
      <w:r w:rsidR="00483B33" w:rsidRPr="00D075CC">
        <w:t xml:space="preserve"> v </w:t>
      </w:r>
      <w:r w:rsidR="009A3186" w:rsidRPr="00D075CC">
        <w:t>ich prílohách</w:t>
      </w:r>
      <w:r w:rsidRPr="00D075CC">
        <w:t>.</w:t>
      </w:r>
      <w:r w:rsidR="00733325" w:rsidRPr="00D075CC">
        <w:t xml:space="preserve"> Daný spôsob hodnotenia (aj za použitia vzorca uvedeného v kritériu č. 1) má uchádzačov motivovať zamerať sa primárne na kvalitatívne kritériá</w:t>
      </w:r>
      <w:r w:rsidR="00483B33" w:rsidRPr="00D075CC">
        <w:t xml:space="preserve"> (kritériá č. 2 a 3) a nie k ponuke dumpingových cien. </w:t>
      </w:r>
    </w:p>
    <w:p w14:paraId="25C9FA03" w14:textId="4463214F" w:rsidR="004D390E" w:rsidRPr="00D075CC" w:rsidRDefault="009A3186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D075CC">
        <w:rPr>
          <w:b/>
          <w:bCs/>
          <w:color w:val="auto"/>
        </w:rPr>
        <w:t xml:space="preserve">Cieľom </w:t>
      </w:r>
      <w:r w:rsidR="00F5274E" w:rsidRPr="00D075CC">
        <w:rPr>
          <w:b/>
          <w:bCs/>
          <w:color w:val="auto"/>
        </w:rPr>
        <w:t>uchádzačov nemá byť získať plný počet bodov za dané kritérium (85) ale maximálne možný</w:t>
      </w:r>
      <w:r w:rsidR="00F5274E" w:rsidRPr="00D075CC">
        <w:rPr>
          <w:color w:val="auto"/>
        </w:rPr>
        <w:t>, vzhľadom na vyššie uvedené.</w:t>
      </w:r>
      <w:r w:rsidR="00F5274E" w:rsidRPr="00D075CC">
        <w:rPr>
          <w:b/>
          <w:bCs/>
          <w:color w:val="auto"/>
        </w:rPr>
        <w:t xml:space="preserve"> </w:t>
      </w:r>
      <w:r w:rsidR="00F5274E" w:rsidRPr="00D075CC">
        <w:rPr>
          <w:color w:val="auto"/>
        </w:rPr>
        <w:t xml:space="preserve">Úspešným sa v danej zákazke môže stať aj uchádzač, ktorý za toto kritérium získa 20, či menej bodov. </w:t>
      </w:r>
      <w:r w:rsidR="00225ACD" w:rsidRPr="00D075CC">
        <w:rPr>
          <w:color w:val="auto"/>
        </w:rPr>
        <w:t>V</w:t>
      </w:r>
      <w:r w:rsidR="00F5274E" w:rsidRPr="00D075CC">
        <w:rPr>
          <w:color w:val="auto"/>
        </w:rPr>
        <w:t>erejn</w:t>
      </w:r>
      <w:r w:rsidR="00225ACD" w:rsidRPr="00D075CC">
        <w:rPr>
          <w:color w:val="auto"/>
        </w:rPr>
        <w:t>ý</w:t>
      </w:r>
      <w:r w:rsidR="00F5274E" w:rsidRPr="00D075CC">
        <w:rPr>
          <w:color w:val="auto"/>
        </w:rPr>
        <w:t xml:space="preserve"> obstarávateľ </w:t>
      </w:r>
      <w:r w:rsidR="00225ACD" w:rsidRPr="00D075CC">
        <w:rPr>
          <w:color w:val="auto"/>
        </w:rPr>
        <w:t xml:space="preserve">sa </w:t>
      </w:r>
      <w:r w:rsidR="00F5274E" w:rsidRPr="00D075CC">
        <w:rPr>
          <w:color w:val="auto"/>
        </w:rPr>
        <w:t>v danom prípade</w:t>
      </w:r>
      <w:r w:rsidR="00225ACD" w:rsidRPr="00D075CC">
        <w:rPr>
          <w:color w:val="auto"/>
        </w:rPr>
        <w:t>, nakoľko ide o služby, pri ktorých sú dôležité aj ďalšie faktory okrem ceny,</w:t>
      </w:r>
      <w:r w:rsidR="00F5274E" w:rsidRPr="00D075CC">
        <w:rPr>
          <w:color w:val="auto"/>
        </w:rPr>
        <w:t xml:space="preserve"> </w:t>
      </w:r>
      <w:r w:rsidR="00225ACD" w:rsidRPr="00D075CC">
        <w:rPr>
          <w:color w:val="auto"/>
        </w:rPr>
        <w:t xml:space="preserve">rozhodol </w:t>
      </w:r>
      <w:r w:rsidR="00F5274E" w:rsidRPr="00D075CC">
        <w:rPr>
          <w:color w:val="auto"/>
        </w:rPr>
        <w:t xml:space="preserve">nevyhodnocovať ponuky len na základe najnižšej ceny, </w:t>
      </w:r>
      <w:r w:rsidR="00225ACD" w:rsidRPr="00D075CC">
        <w:rPr>
          <w:color w:val="auto"/>
        </w:rPr>
        <w:t>ale bude hodnotiť aj kvalitu prostredníctvom predchádzajúcich</w:t>
      </w:r>
      <w:r w:rsidR="000730A3" w:rsidRPr="00D075CC">
        <w:rPr>
          <w:color w:val="auto"/>
        </w:rPr>
        <w:t xml:space="preserve"> obdobných</w:t>
      </w:r>
      <w:r w:rsidR="00225ACD" w:rsidRPr="00D075CC">
        <w:rPr>
          <w:color w:val="auto"/>
        </w:rPr>
        <w:t xml:space="preserve"> skúseností projektanta, ktorý bude zákazku realizovať. Za dôležité považujeme </w:t>
      </w:r>
      <w:r w:rsidR="000730A3" w:rsidRPr="00D075CC">
        <w:rPr>
          <w:color w:val="auto"/>
        </w:rPr>
        <w:t>aj sociálne hľadisko</w:t>
      </w:r>
      <w:r w:rsidR="00225ACD" w:rsidRPr="00D075CC">
        <w:rPr>
          <w:color w:val="auto"/>
        </w:rPr>
        <w:t xml:space="preserve"> a „výchovu“ budúcich projektantov, preto bolo toto verejné obstarávanie vyhlásené</w:t>
      </w:r>
      <w:r w:rsidR="004D42F0" w:rsidRPr="00D075CC">
        <w:rPr>
          <w:color w:val="auto"/>
        </w:rPr>
        <w:t xml:space="preserve"> so zohľadnením sociálneho aspektu v súlade s § 10 ods. 7 ZVO a kritériu č. 3 </w:t>
      </w:r>
      <w:r w:rsidR="000730A3" w:rsidRPr="00D075CC">
        <w:rPr>
          <w:color w:val="auto"/>
        </w:rPr>
        <w:t>(</w:t>
      </w:r>
      <w:r w:rsidR="004D42F0" w:rsidRPr="00D075CC">
        <w:rPr>
          <w:color w:val="000000"/>
        </w:rPr>
        <w:t>Zapojenie študentov/absolventov vysokej školy</w:t>
      </w:r>
      <w:r w:rsidR="000730A3" w:rsidRPr="00D075CC">
        <w:rPr>
          <w:color w:val="000000"/>
        </w:rPr>
        <w:t>)</w:t>
      </w:r>
      <w:r w:rsidR="004D42F0" w:rsidRPr="00D075CC">
        <w:rPr>
          <w:color w:val="000000"/>
        </w:rPr>
        <w:t xml:space="preserve"> bolo priradených 5 bodov</w:t>
      </w:r>
      <w:r w:rsidR="004D42F0" w:rsidRPr="00D075CC">
        <w:rPr>
          <w:color w:val="auto"/>
        </w:rPr>
        <w:t>.</w:t>
      </w:r>
      <w:r w:rsidR="00225ACD" w:rsidRPr="00D075CC">
        <w:rPr>
          <w:color w:val="auto"/>
        </w:rPr>
        <w:t xml:space="preserve"> </w:t>
      </w:r>
    </w:p>
    <w:p w14:paraId="62162F98" w14:textId="6645EAC7" w:rsidR="00733325" w:rsidRDefault="00977623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D075CC">
        <w:rPr>
          <w:color w:val="auto"/>
        </w:rPr>
        <w:t xml:space="preserve">Dovolíme si nesúhlasiť s Vašim tvrdením, že v kritériu č. 1 nie je hodnotená celková cena </w:t>
      </w:r>
      <w:r w:rsidRPr="00D075CC">
        <w:rPr>
          <w:color w:val="000000"/>
        </w:rPr>
        <w:t xml:space="preserve">za predmet zákazky, nakoľko práve tá, stanovená </w:t>
      </w:r>
      <w:r w:rsidR="000730A3" w:rsidRPr="00D075CC">
        <w:rPr>
          <w:color w:val="000000"/>
        </w:rPr>
        <w:t>konkrétnym</w:t>
      </w:r>
      <w:r w:rsidRPr="00D075CC">
        <w:rPr>
          <w:color w:val="000000"/>
        </w:rPr>
        <w:t xml:space="preserve"> uchádzačom, je pre vyhodnotenie daného kritéria a prideleniu počtu bodov zaň kľúčová. </w:t>
      </w:r>
      <w:r w:rsidR="00733325" w:rsidRPr="00D075CC">
        <w:rPr>
          <w:color w:val="000000"/>
        </w:rPr>
        <w:t xml:space="preserve">Ďalej uvádzame, že váha jednotlivých kritérií je primárne vyjadrená maximálnym počtom bodov, ktoré za </w:t>
      </w:r>
      <w:proofErr w:type="spellStart"/>
      <w:r w:rsidR="00733325" w:rsidRPr="00D075CC">
        <w:rPr>
          <w:color w:val="000000"/>
        </w:rPr>
        <w:t>ne</w:t>
      </w:r>
      <w:proofErr w:type="spellEnd"/>
      <w:r w:rsidR="00733325" w:rsidRPr="00D075CC">
        <w:rPr>
          <w:color w:val="000000"/>
        </w:rPr>
        <w:t xml:space="preserve"> môže uchádzač získať. Nepredpokladáme však, </w:t>
      </w:r>
      <w:r w:rsidR="000730A3" w:rsidRPr="00D075CC">
        <w:rPr>
          <w:color w:val="000000"/>
        </w:rPr>
        <w:t xml:space="preserve">tak ako už bolo vyššie uvedené, </w:t>
      </w:r>
      <w:r w:rsidR="00733325" w:rsidRPr="00D075CC">
        <w:rPr>
          <w:color w:val="000000"/>
        </w:rPr>
        <w:t xml:space="preserve">že niektorý z uchádzačov získa za každé kritérium plný počet bodov, resp. že dané kritérium bude mať v konečnom hodnotení takúto percentuálnu váhu. </w:t>
      </w:r>
      <w:r w:rsidR="000730A3" w:rsidRPr="00D075CC">
        <w:rPr>
          <w:color w:val="000000"/>
        </w:rPr>
        <w:t xml:space="preserve">Dávame do pozornosti aj znenie súťažných podkladov (str. 13), v ktorom je uvedené, že </w:t>
      </w:r>
      <w:r w:rsidR="000730A3" w:rsidRPr="00D075CC">
        <w:rPr>
          <w:b/>
          <w:bCs/>
          <w:color w:val="000000"/>
        </w:rPr>
        <w:t>ú</w:t>
      </w:r>
      <w:r w:rsidR="00733325" w:rsidRPr="00D075CC">
        <w:rPr>
          <w:b/>
          <w:bCs/>
        </w:rPr>
        <w:t>spešným uchádzačom po vyhodnotení ponúk na základe kritérií sa stane uchádzač, ktorého ponuka v súčte hodnotenia všetkých kritérií získala najvyšší počet bodov</w:t>
      </w:r>
      <w:r w:rsidR="000730A3" w:rsidRPr="00D075CC">
        <w:rPr>
          <w:b/>
          <w:bCs/>
        </w:rPr>
        <w:t xml:space="preserve">, a teda nie maximálny </w:t>
      </w:r>
      <w:r w:rsidR="00D075CC" w:rsidRPr="00D075CC">
        <w:rPr>
          <w:b/>
          <w:bCs/>
        </w:rPr>
        <w:t xml:space="preserve">a </w:t>
      </w:r>
      <w:r w:rsidR="000730A3" w:rsidRPr="00D075CC">
        <w:rPr>
          <w:b/>
          <w:bCs/>
        </w:rPr>
        <w:t>ktorý nie je závislý od ponúk iných uchádzačov</w:t>
      </w:r>
      <w:r w:rsidR="000730A3" w:rsidRPr="005A2320">
        <w:t>.</w:t>
      </w:r>
    </w:p>
    <w:p w14:paraId="234CB0FB" w14:textId="1C11F931" w:rsidR="00ED1C6A" w:rsidRDefault="00ED1C6A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>
        <w:t xml:space="preserve">Na záver možno poukázať </w:t>
      </w:r>
      <w:r w:rsidR="002F0EEE">
        <w:t>na tvrdenie žiadateľa, podľa ktorého má zvolený vzorec vplyv na váhu jednotlivých kritérií, keďže nikto s reálnou ponukou nedosiahne plný počet bodov</w:t>
      </w:r>
      <w:r>
        <w:t xml:space="preserve">. </w:t>
      </w:r>
      <w:r w:rsidR="00437B2B">
        <w:t>Toto tvrdenie ale nie je matematicky správne, pretože p</w:t>
      </w:r>
      <w:r w:rsidR="002F0EEE">
        <w:t xml:space="preserve">ri vyjadrení váhy kritérií nie je určujúce to, aby niekto získal plný počet bodov, </w:t>
      </w:r>
      <w:r>
        <w:t>ale</w:t>
      </w:r>
      <w:r w:rsidR="002F0EEE">
        <w:t xml:space="preserve"> </w:t>
      </w:r>
      <w:r w:rsidR="002F0EEE" w:rsidRPr="005A2320">
        <w:rPr>
          <w:b/>
          <w:bCs/>
        </w:rPr>
        <w:t>bodový rozdiel medzi ponukami</w:t>
      </w:r>
      <w:r>
        <w:t xml:space="preserve">. </w:t>
      </w:r>
      <w:r w:rsidR="002F0EEE">
        <w:t>Pre lepšie porozumenie si n</w:t>
      </w:r>
      <w:r>
        <w:t>amodelujme situáciu dvoch uchádzačov s dvomi rôznymi cenovými ponukami, pričom ich raz vyhodnotíme bežným pomerovým vzorcom, a raz vzorcom, ktorý je použitý v danej súťaži: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1C6A" w14:paraId="3C1CE6F8" w14:textId="77777777" w:rsidTr="00ED1C6A">
        <w:tc>
          <w:tcPr>
            <w:tcW w:w="2265" w:type="dxa"/>
          </w:tcPr>
          <w:p w14:paraId="5D57D909" w14:textId="77777777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both"/>
              <w:rPr>
                <w:color w:val="000000"/>
              </w:rPr>
            </w:pPr>
          </w:p>
        </w:tc>
        <w:tc>
          <w:tcPr>
            <w:tcW w:w="2265" w:type="dxa"/>
          </w:tcPr>
          <w:p w14:paraId="0E2E033E" w14:textId="0A3A5889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Ponuková cena</w:t>
            </w:r>
          </w:p>
        </w:tc>
        <w:tc>
          <w:tcPr>
            <w:tcW w:w="2266" w:type="dxa"/>
          </w:tcPr>
          <w:p w14:paraId="163F1441" w14:textId="48200F13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bodov (pomerový vzorec)</w:t>
            </w:r>
          </w:p>
        </w:tc>
        <w:tc>
          <w:tcPr>
            <w:tcW w:w="2266" w:type="dxa"/>
          </w:tcPr>
          <w:p w14:paraId="0CF8B3F8" w14:textId="492C5CA9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bodov (nezávislý vzorec)</w:t>
            </w:r>
          </w:p>
        </w:tc>
      </w:tr>
      <w:tr w:rsidR="00ED1C6A" w14:paraId="35FB252D" w14:textId="77777777" w:rsidTr="00ED1C6A">
        <w:tc>
          <w:tcPr>
            <w:tcW w:w="2265" w:type="dxa"/>
          </w:tcPr>
          <w:p w14:paraId="3BD58293" w14:textId="0FA18A8E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Uchádzač A</w:t>
            </w:r>
          </w:p>
        </w:tc>
        <w:tc>
          <w:tcPr>
            <w:tcW w:w="2265" w:type="dxa"/>
          </w:tcPr>
          <w:p w14:paraId="08FF0A03" w14:textId="102E7DB9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70 000 EUR s DPH</w:t>
            </w:r>
          </w:p>
        </w:tc>
        <w:tc>
          <w:tcPr>
            <w:tcW w:w="2266" w:type="dxa"/>
          </w:tcPr>
          <w:p w14:paraId="3B2FC8F1" w14:textId="764568EA" w:rsidR="00ED1C6A" w:rsidRDefault="002F0EEE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60,71 b.</w:t>
            </w:r>
          </w:p>
        </w:tc>
        <w:tc>
          <w:tcPr>
            <w:tcW w:w="2266" w:type="dxa"/>
          </w:tcPr>
          <w:p w14:paraId="333C93B4" w14:textId="41D821FC" w:rsidR="00ED1C6A" w:rsidRDefault="002F0EEE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6,91 b.</w:t>
            </w:r>
          </w:p>
        </w:tc>
      </w:tr>
      <w:tr w:rsidR="00ED1C6A" w14:paraId="6C8EC0EA" w14:textId="77777777" w:rsidTr="00ED1C6A">
        <w:tc>
          <w:tcPr>
            <w:tcW w:w="2265" w:type="dxa"/>
          </w:tcPr>
          <w:p w14:paraId="7ECDFF71" w14:textId="5A7D9B7F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Uchádzač B</w:t>
            </w:r>
          </w:p>
        </w:tc>
        <w:tc>
          <w:tcPr>
            <w:tcW w:w="2265" w:type="dxa"/>
          </w:tcPr>
          <w:p w14:paraId="3FCD98EC" w14:textId="4DE50908" w:rsidR="00ED1C6A" w:rsidRDefault="00ED1C6A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50 000 EUR s DPH</w:t>
            </w:r>
          </w:p>
        </w:tc>
        <w:tc>
          <w:tcPr>
            <w:tcW w:w="2266" w:type="dxa"/>
          </w:tcPr>
          <w:p w14:paraId="4D706DC6" w14:textId="2C9FC7D6" w:rsidR="00ED1C6A" w:rsidRDefault="002F0EEE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 b.</w:t>
            </w:r>
          </w:p>
        </w:tc>
        <w:tc>
          <w:tcPr>
            <w:tcW w:w="2266" w:type="dxa"/>
          </w:tcPr>
          <w:p w14:paraId="6D302F2D" w14:textId="3557A054" w:rsidR="00ED1C6A" w:rsidRDefault="002F0EEE" w:rsidP="005A2320">
            <w:pPr>
              <w:pStyle w:val="Odsekzoznamu"/>
              <w:numPr>
                <w:ilvl w:val="0"/>
                <w:numId w:val="0"/>
              </w:numPr>
              <w:spacing w:before="20" w:after="2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29,23 b.</w:t>
            </w:r>
          </w:p>
        </w:tc>
      </w:tr>
    </w:tbl>
    <w:p w14:paraId="51E7E607" w14:textId="201D8350" w:rsidR="00437B2B" w:rsidRDefault="002F0EEE" w:rsidP="002F0EEE">
      <w:pPr>
        <w:pStyle w:val="Odsekzoznamu"/>
        <w:numPr>
          <w:ilvl w:val="0"/>
          <w:numId w:val="0"/>
        </w:numPr>
        <w:spacing w:before="160" w:after="160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 xml:space="preserve">Na príklade uvedenom v tabuľke je vidieť, že v prípade použitia pomerového vzorca by uchádzač B získal o 24,29 bodu viac ako uchádzač A. V prípade využitia nezávislého vzorca by uchádzač B získal o 22,32 bodu viac ako uchádzač A. Z príkladu je teda vidieť, že bodový rozdiel medzi uchádzačmi je v oboch prípadoch takmer rovnaký. </w:t>
      </w:r>
      <w:r w:rsidR="00437B2B">
        <w:rPr>
          <w:color w:val="000000"/>
        </w:rPr>
        <w:t>A podstatný je práve ten rozdiel</w:t>
      </w:r>
      <w:r w:rsidR="00F65B93">
        <w:rPr>
          <w:color w:val="000000"/>
        </w:rPr>
        <w:t>.</w:t>
      </w:r>
    </w:p>
    <w:p w14:paraId="64897E23" w14:textId="446DD928" w:rsidR="002F0EEE" w:rsidRDefault="00437B2B" w:rsidP="002F0EEE">
      <w:pPr>
        <w:pStyle w:val="Odsekzoznamu"/>
        <w:numPr>
          <w:ilvl w:val="0"/>
          <w:numId w:val="0"/>
        </w:numPr>
        <w:spacing w:before="160" w:after="160"/>
        <w:contextualSpacing w:val="0"/>
        <w:jc w:val="both"/>
        <w:rPr>
          <w:color w:val="000000"/>
        </w:rPr>
      </w:pPr>
      <w:r>
        <w:rPr>
          <w:color w:val="000000"/>
        </w:rPr>
        <w:t>P</w:t>
      </w:r>
      <w:r w:rsidR="002F0EEE">
        <w:rPr>
          <w:color w:val="000000"/>
        </w:rPr>
        <w:t>latí</w:t>
      </w:r>
      <w:r>
        <w:rPr>
          <w:color w:val="000000"/>
        </w:rPr>
        <w:t xml:space="preserve"> totiž</w:t>
      </w:r>
      <w:r w:rsidR="002F0EEE">
        <w:rPr>
          <w:color w:val="000000"/>
        </w:rPr>
        <w:t>, že v modelovom príklade by ani v jednom prípade maximálny bodový zisk za skúsenosti (10 b.) a využitie služieb študenta (5 b.) nevedel zvrátiť poradie. Z uvedeného teda vyplýva, že váha cenového kritéria nie je stanovená iba ňou samotnou, ale aj váhou ostatných kritérií, pričom podstatný je bodový rozdiel medzi jednotlivými ponukami, a nie získanie plného počtu bodov. Alebo</w:t>
      </w:r>
      <w:r>
        <w:rPr>
          <w:color w:val="000000"/>
        </w:rPr>
        <w:t>,</w:t>
      </w:r>
      <w:r w:rsidR="002F0EEE">
        <w:rPr>
          <w:color w:val="000000"/>
        </w:rPr>
        <w:t xml:space="preserve"> ešte inak povedané, získanie plného počtu bodov za necenové kritériá (15 b.) by ani v jednom z modelových prípadov nebolo schopné zvrátiť poradie, pretože </w:t>
      </w:r>
      <w:r w:rsidR="002F0EEE" w:rsidRPr="005A2320">
        <w:rPr>
          <w:b/>
          <w:bCs/>
          <w:color w:val="000000"/>
        </w:rPr>
        <w:t>a)</w:t>
      </w:r>
      <w:r w:rsidR="002F0EEE">
        <w:rPr>
          <w:color w:val="000000"/>
        </w:rPr>
        <w:t xml:space="preserve"> váha necenových kritérií </w:t>
      </w:r>
      <w:r>
        <w:rPr>
          <w:color w:val="000000"/>
        </w:rPr>
        <w:t>je (v danom modelovom prípade)</w:t>
      </w:r>
      <w:r w:rsidR="002F0EEE">
        <w:rPr>
          <w:color w:val="000000"/>
        </w:rPr>
        <w:t xml:space="preserve"> relatívne nízka a </w:t>
      </w:r>
      <w:r w:rsidR="002F0EEE" w:rsidRPr="005A2320">
        <w:rPr>
          <w:b/>
          <w:bCs/>
          <w:color w:val="000000"/>
        </w:rPr>
        <w:t>b)</w:t>
      </w:r>
      <w:r w:rsidR="002F0EEE">
        <w:rPr>
          <w:color w:val="000000"/>
        </w:rPr>
        <w:t xml:space="preserve"> rozdiel medzi bodovým ziskom uchádzačov je v oboch prípadoch prakticky rovnaký. </w:t>
      </w:r>
    </w:p>
    <w:p w14:paraId="4898723D" w14:textId="2BC153B3" w:rsidR="3BCB8023" w:rsidRPr="00D075CC" w:rsidRDefault="002F0EEE" w:rsidP="004D390E">
      <w:pPr>
        <w:spacing w:after="160"/>
        <w:contextualSpacing w:val="0"/>
        <w:jc w:val="both"/>
        <w:rPr>
          <w:b/>
          <w:bCs/>
          <w:color w:val="auto"/>
        </w:rPr>
      </w:pPr>
      <w:r>
        <w:rPr>
          <w:color w:val="000000"/>
        </w:rPr>
        <w:t xml:space="preserve">Preto z matematického hľadiska neobstojí tvrdenie, že použitie nezávislého vzorca mení váhu kritérií K2 a K3. Na príklade vyššie je vidieť, že pre vyjadrenie váhy kritériá nie je podstatné, aby niekto získal plný počet bodov. </w:t>
      </w:r>
      <w:r w:rsidR="00437B2B">
        <w:rPr>
          <w:color w:val="000000"/>
        </w:rPr>
        <w:t>Koniec koncov, v</w:t>
      </w:r>
      <w:r>
        <w:rPr>
          <w:color w:val="000000"/>
        </w:rPr>
        <w:t xml:space="preserve">áha kritériá je bez akýchkoľvek pochybností zahrnutá vo vzorci </w:t>
      </w:r>
      <w:r w:rsidR="00437B2B">
        <w:rPr>
          <w:color w:val="000000"/>
        </w:rPr>
        <w:t xml:space="preserve">(pozri činiteľa pred zlomkom) </w:t>
      </w:r>
      <w:r>
        <w:rPr>
          <w:color w:val="000000"/>
        </w:rPr>
        <w:t>a vplýva na bodový rozdiel medzi uchádzačmi.</w:t>
      </w:r>
    </w:p>
    <w:p w14:paraId="52BAD0AA" w14:textId="77777777" w:rsidR="000E110D" w:rsidRPr="00D075CC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Pr="00D075CC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D075CC">
        <w:rPr>
          <w:color w:val="auto"/>
          <w:shd w:val="clear" w:color="auto" w:fill="FFFFFF"/>
        </w:rPr>
        <w:t>S pozdravom</w:t>
      </w:r>
    </w:p>
    <w:p w14:paraId="79702BEB" w14:textId="77777777" w:rsidR="008C1621" w:rsidRPr="00D075CC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D075CC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D075CC">
        <w:rPr>
          <w:color w:val="auto"/>
          <w:shd w:val="clear" w:color="auto" w:fill="FFFFFF"/>
        </w:rPr>
        <w:tab/>
      </w:r>
    </w:p>
    <w:p w14:paraId="6298CC06" w14:textId="702ACA65" w:rsidR="008C1621" w:rsidRPr="00D075CC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D075CC">
        <w:rPr>
          <w:color w:val="auto"/>
          <w:shd w:val="clear" w:color="auto" w:fill="FFFFFF"/>
        </w:rPr>
        <w:tab/>
        <w:t>Mgr. Michal Garaj</w:t>
      </w:r>
      <w:r w:rsidR="007B6C6E" w:rsidRPr="00D075CC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D075CC">
        <w:rPr>
          <w:color w:val="auto"/>
          <w:shd w:val="clear" w:color="auto" w:fill="FFFFFF"/>
        </w:rPr>
        <w:tab/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1DFE" w14:textId="77777777" w:rsidR="00802CC8" w:rsidRDefault="00802CC8">
      <w:pPr>
        <w:spacing w:after="0"/>
      </w:pPr>
      <w:r>
        <w:separator/>
      </w:r>
    </w:p>
  </w:endnote>
  <w:endnote w:type="continuationSeparator" w:id="0">
    <w:p w14:paraId="79954628" w14:textId="77777777" w:rsidR="00802CC8" w:rsidRDefault="00802CC8">
      <w:pPr>
        <w:spacing w:after="0"/>
      </w:pPr>
      <w:r>
        <w:continuationSeparator/>
      </w:r>
    </w:p>
  </w:endnote>
  <w:endnote w:type="continuationNotice" w:id="1">
    <w:p w14:paraId="24246265" w14:textId="77777777" w:rsidR="00802CC8" w:rsidRDefault="00802C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B3E7" w14:textId="77777777" w:rsidR="00802CC8" w:rsidRDefault="00802CC8">
      <w:pPr>
        <w:spacing w:after="0"/>
      </w:pPr>
      <w:r>
        <w:separator/>
      </w:r>
    </w:p>
  </w:footnote>
  <w:footnote w:type="continuationSeparator" w:id="0">
    <w:p w14:paraId="664A6BF5" w14:textId="77777777" w:rsidR="00802CC8" w:rsidRDefault="00802CC8">
      <w:pPr>
        <w:spacing w:after="0"/>
      </w:pPr>
      <w:r>
        <w:continuationSeparator/>
      </w:r>
    </w:p>
  </w:footnote>
  <w:footnote w:type="continuationNotice" w:id="1">
    <w:p w14:paraId="70CFE28C" w14:textId="77777777" w:rsidR="00802CC8" w:rsidRDefault="00802C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38CC"/>
    <w:multiLevelType w:val="hybridMultilevel"/>
    <w:tmpl w:val="F7B47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2"/>
  </w:num>
  <w:num w:numId="18">
    <w:abstractNumId w:val="0"/>
  </w:num>
  <w:num w:numId="19">
    <w:abstractNumId w:val="5"/>
  </w:num>
  <w:num w:numId="20">
    <w:abstractNumId w:val="1"/>
  </w:num>
  <w:num w:numId="21">
    <w:abstractNumId w:val="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64EBD"/>
    <w:rsid w:val="00065865"/>
    <w:rsid w:val="00067054"/>
    <w:rsid w:val="00067322"/>
    <w:rsid w:val="000730A3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25ACD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0EEE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0E08"/>
    <w:rsid w:val="0042299C"/>
    <w:rsid w:val="00437B2B"/>
    <w:rsid w:val="004570A9"/>
    <w:rsid w:val="00460EE8"/>
    <w:rsid w:val="00464F1F"/>
    <w:rsid w:val="00465199"/>
    <w:rsid w:val="004726A1"/>
    <w:rsid w:val="00483B33"/>
    <w:rsid w:val="004B7959"/>
    <w:rsid w:val="004C711D"/>
    <w:rsid w:val="004D2DE3"/>
    <w:rsid w:val="004D390E"/>
    <w:rsid w:val="004D42F0"/>
    <w:rsid w:val="0051004E"/>
    <w:rsid w:val="00527CC4"/>
    <w:rsid w:val="0055006C"/>
    <w:rsid w:val="00563D56"/>
    <w:rsid w:val="00565C36"/>
    <w:rsid w:val="005A2320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10FA"/>
    <w:rsid w:val="007023C2"/>
    <w:rsid w:val="00707B95"/>
    <w:rsid w:val="00733325"/>
    <w:rsid w:val="00757C49"/>
    <w:rsid w:val="00757C7D"/>
    <w:rsid w:val="00762B65"/>
    <w:rsid w:val="00797A01"/>
    <w:rsid w:val="007B6C6E"/>
    <w:rsid w:val="007C01F7"/>
    <w:rsid w:val="007D6214"/>
    <w:rsid w:val="007F6B6D"/>
    <w:rsid w:val="00802CC8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77623"/>
    <w:rsid w:val="009A3186"/>
    <w:rsid w:val="009E1632"/>
    <w:rsid w:val="009F50FF"/>
    <w:rsid w:val="00A05CE9"/>
    <w:rsid w:val="00A13B39"/>
    <w:rsid w:val="00A47276"/>
    <w:rsid w:val="00A66968"/>
    <w:rsid w:val="00A7346E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075CC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63DBA"/>
    <w:rsid w:val="00E85064"/>
    <w:rsid w:val="00EC19B2"/>
    <w:rsid w:val="00ED1C6A"/>
    <w:rsid w:val="00EE6F86"/>
    <w:rsid w:val="00F001C4"/>
    <w:rsid w:val="00F0324C"/>
    <w:rsid w:val="00F140AD"/>
    <w:rsid w:val="00F45F84"/>
    <w:rsid w:val="00F5274E"/>
    <w:rsid w:val="00F61BB0"/>
    <w:rsid w:val="00F65B93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character" w:customStyle="1" w:styleId="OdsekzoznamuChar">
    <w:name w:val="Odsek zoznamu Char"/>
    <w:aliases w:val="Odsek a) Char"/>
    <w:link w:val="Odsekzoznamu"/>
    <w:uiPriority w:val="34"/>
    <w:locked/>
    <w:rsid w:val="0055006C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50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3</cp:revision>
  <cp:lastPrinted>2021-04-22T21:07:00Z</cp:lastPrinted>
  <dcterms:created xsi:type="dcterms:W3CDTF">2021-06-16T15:59:00Z</dcterms:created>
  <dcterms:modified xsi:type="dcterms:W3CDTF">2021-06-16T16:00:00Z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