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F237E" w14:textId="77777777" w:rsidR="009630A8" w:rsidRPr="00124478" w:rsidRDefault="009630A8" w:rsidP="009630A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24478">
        <w:rPr>
          <w:rFonts w:ascii="Times New Roman" w:eastAsia="Times New Roman" w:hAnsi="Times New Roman"/>
          <w:b/>
          <w:sz w:val="28"/>
          <w:szCs w:val="28"/>
        </w:rPr>
        <w:t>Opis predmetu zákazky a cenová špecifikácia</w:t>
      </w:r>
    </w:p>
    <w:p w14:paraId="235EAADC" w14:textId="77777777" w:rsidR="004A466A" w:rsidRPr="006E5DC8" w:rsidRDefault="004A466A" w:rsidP="004A466A">
      <w:pPr>
        <w:jc w:val="both"/>
        <w:rPr>
          <w:rFonts w:ascii="Arial" w:hAnsi="Arial" w:cs="Arial"/>
        </w:rPr>
      </w:pPr>
    </w:p>
    <w:p w14:paraId="55E9745A" w14:textId="3D4B2B0C" w:rsidR="009630A8" w:rsidRPr="00124478" w:rsidRDefault="009630A8" w:rsidP="009630A8">
      <w:pPr>
        <w:widowControl w:val="0"/>
        <w:autoSpaceDE w:val="0"/>
        <w:autoSpaceDN w:val="0"/>
        <w:adjustRightInd w:val="0"/>
        <w:spacing w:before="120" w:after="120" w:line="240" w:lineRule="auto"/>
        <w:ind w:hanging="28"/>
        <w:rPr>
          <w:rFonts w:ascii="Arial" w:hAnsi="Arial" w:cs="Arial"/>
          <w:sz w:val="24"/>
          <w:szCs w:val="24"/>
        </w:rPr>
      </w:pPr>
      <w:r w:rsidRPr="00124478">
        <w:rPr>
          <w:rFonts w:ascii="Arial" w:hAnsi="Arial" w:cs="Arial"/>
          <w:b/>
          <w:sz w:val="24"/>
          <w:szCs w:val="24"/>
        </w:rPr>
        <w:t>Názov predmetu zákazky:</w:t>
      </w:r>
      <w:r w:rsidRPr="00124478">
        <w:rPr>
          <w:rFonts w:ascii="Arial" w:hAnsi="Arial" w:cs="Arial"/>
          <w:sz w:val="24"/>
          <w:szCs w:val="24"/>
        </w:rPr>
        <w:t xml:space="preserve"> </w:t>
      </w:r>
      <w:r w:rsidR="00124478">
        <w:rPr>
          <w:rFonts w:ascii="Arial" w:hAnsi="Arial" w:cs="Arial"/>
          <w:sz w:val="24"/>
          <w:szCs w:val="24"/>
        </w:rPr>
        <w:t xml:space="preserve">Vypracovanie dokumentácie IMS pre </w:t>
      </w:r>
      <w:r w:rsidR="00124478" w:rsidRPr="006E5DC8">
        <w:rPr>
          <w:rFonts w:ascii="Arial" w:hAnsi="Arial" w:cs="Arial"/>
          <w:sz w:val="24"/>
          <w:szCs w:val="24"/>
        </w:rPr>
        <w:t>NCZI</w:t>
      </w:r>
    </w:p>
    <w:p w14:paraId="01CD8B4C" w14:textId="2339FA29" w:rsidR="004A466A" w:rsidRPr="00124478" w:rsidRDefault="00124478" w:rsidP="004A466A">
      <w:pPr>
        <w:jc w:val="both"/>
        <w:rPr>
          <w:rFonts w:ascii="Arial" w:hAnsi="Arial" w:cs="Arial"/>
          <w:b/>
          <w:sz w:val="24"/>
          <w:szCs w:val="24"/>
        </w:rPr>
      </w:pPr>
      <w:r w:rsidRPr="00124478">
        <w:rPr>
          <w:rFonts w:ascii="Arial" w:hAnsi="Arial" w:cs="Arial"/>
          <w:b/>
          <w:sz w:val="24"/>
          <w:szCs w:val="24"/>
        </w:rPr>
        <w:t>Špecifikácia predmetu zákazky:</w:t>
      </w:r>
    </w:p>
    <w:p w14:paraId="4565A020" w14:textId="44BC9178" w:rsidR="004A466A" w:rsidRPr="006E5DC8" w:rsidRDefault="004A466A" w:rsidP="003D4893">
      <w:pPr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Pre</w:t>
      </w:r>
      <w:r w:rsidR="0056034F">
        <w:rPr>
          <w:rFonts w:ascii="Arial" w:hAnsi="Arial" w:cs="Arial"/>
          <w:sz w:val="24"/>
          <w:szCs w:val="24"/>
        </w:rPr>
        <w:t xml:space="preserve">dmetom zákazky je vypracovanie </w:t>
      </w:r>
      <w:r w:rsidRPr="006E5DC8">
        <w:rPr>
          <w:rFonts w:ascii="Arial" w:hAnsi="Arial" w:cs="Arial"/>
          <w:sz w:val="24"/>
          <w:szCs w:val="24"/>
        </w:rPr>
        <w:t>dokumentácie IMS pre  NCZI v rozsahu činností:</w:t>
      </w:r>
    </w:p>
    <w:p w14:paraId="66BCCA56" w14:textId="77777777" w:rsidR="004A466A" w:rsidRPr="006E5DC8" w:rsidRDefault="004A466A" w:rsidP="003D4893">
      <w:pPr>
        <w:pStyle w:val="Odsekzoznamu"/>
        <w:numPr>
          <w:ilvl w:val="0"/>
          <w:numId w:val="6"/>
        </w:numPr>
        <w:jc w:val="both"/>
        <w:rPr>
          <w:rFonts w:ascii="Arial" w:eastAsiaTheme="minorEastAsia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posúdenie súčasného stavu implementovanej dokumentácie</w:t>
      </w:r>
    </w:p>
    <w:p w14:paraId="73AB267F" w14:textId="77777777" w:rsidR="004A466A" w:rsidRPr="006E5DC8" w:rsidRDefault="004A466A" w:rsidP="003D4893">
      <w:pPr>
        <w:pStyle w:val="Odsekzoznamu"/>
        <w:numPr>
          <w:ilvl w:val="0"/>
          <w:numId w:val="5"/>
        </w:numPr>
        <w:jc w:val="both"/>
        <w:rPr>
          <w:rFonts w:ascii="Arial" w:eastAsiaTheme="minorEastAsia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 xml:space="preserve">návrh cieľového stavu v rozsahu definovanom v  Prílohe č. 1, </w:t>
      </w:r>
    </w:p>
    <w:p w14:paraId="07F0CD80" w14:textId="77777777" w:rsidR="004A466A" w:rsidRPr="006E5DC8" w:rsidRDefault="004A466A" w:rsidP="003D4893">
      <w:pPr>
        <w:pStyle w:val="Odsekzoznamu"/>
        <w:numPr>
          <w:ilvl w:val="0"/>
          <w:numId w:val="4"/>
        </w:numPr>
        <w:jc w:val="both"/>
        <w:rPr>
          <w:rFonts w:ascii="Arial" w:eastAsiaTheme="minorEastAsia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 xml:space="preserve">vypracovanie bezpečnostnej dokumentácie v požadovanej granularite detailne definovanej v Prílohe č.1 </w:t>
      </w:r>
    </w:p>
    <w:p w14:paraId="3C08689D" w14:textId="40E868A2" w:rsidR="004A466A" w:rsidRPr="006E5DC8" w:rsidRDefault="004A466A" w:rsidP="003D4893">
      <w:pPr>
        <w:pStyle w:val="Odsekzoznamu"/>
        <w:numPr>
          <w:ilvl w:val="0"/>
          <w:numId w:val="3"/>
        </w:numPr>
        <w:jc w:val="both"/>
        <w:rPr>
          <w:rFonts w:ascii="Arial" w:eastAsiaTheme="minorEastAsia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 xml:space="preserve"> zabezpečenie podporných činnosti – konzultácií a implementácie zmien zákonov do dokumentácie v priebehu n</w:t>
      </w:r>
      <w:r w:rsidR="00B06055">
        <w:rPr>
          <w:rFonts w:ascii="Arial" w:hAnsi="Arial" w:cs="Arial"/>
          <w:sz w:val="24"/>
          <w:szCs w:val="24"/>
        </w:rPr>
        <w:t>asledujúcich 3 rokov v rozsahu 10 MD/ročne. Bude vykonávané n</w:t>
      </w:r>
      <w:r w:rsidR="00B06055" w:rsidRPr="00B06055">
        <w:rPr>
          <w:rFonts w:ascii="Arial" w:hAnsi="Arial" w:cs="Arial"/>
          <w:sz w:val="24"/>
          <w:szCs w:val="24"/>
        </w:rPr>
        <w:t>a základe čiastkových objednávok vystavených NCZI</w:t>
      </w:r>
      <w:r w:rsidR="00B06055">
        <w:rPr>
          <w:rFonts w:ascii="Arial" w:hAnsi="Arial" w:cs="Arial"/>
          <w:sz w:val="24"/>
          <w:szCs w:val="24"/>
        </w:rPr>
        <w:t>, počas trva</w:t>
      </w:r>
      <w:r w:rsidR="00D12482">
        <w:rPr>
          <w:rFonts w:ascii="Arial" w:hAnsi="Arial" w:cs="Arial"/>
          <w:sz w:val="24"/>
          <w:szCs w:val="24"/>
        </w:rPr>
        <w:t xml:space="preserve">nia zmluvy t.j. 36 mesiacov </w:t>
      </w:r>
      <w:r w:rsidR="00B06055" w:rsidRPr="00B06055">
        <w:rPr>
          <w:rFonts w:ascii="Arial" w:hAnsi="Arial" w:cs="Arial"/>
          <w:sz w:val="24"/>
          <w:szCs w:val="24"/>
        </w:rPr>
        <w:t xml:space="preserve">alebo </w:t>
      </w:r>
      <w:r w:rsidR="00B06055">
        <w:rPr>
          <w:rFonts w:ascii="Arial" w:hAnsi="Arial" w:cs="Arial"/>
          <w:sz w:val="24"/>
          <w:szCs w:val="24"/>
        </w:rPr>
        <w:t xml:space="preserve">do vyčerpania </w:t>
      </w:r>
      <w:r w:rsidR="00B06055" w:rsidRPr="00B06055">
        <w:rPr>
          <w:rFonts w:ascii="Arial" w:hAnsi="Arial" w:cs="Arial"/>
          <w:sz w:val="24"/>
          <w:szCs w:val="24"/>
        </w:rPr>
        <w:t>dohodnutého finančného objemu</w:t>
      </w:r>
      <w:r w:rsidR="00D12482">
        <w:rPr>
          <w:rFonts w:ascii="Arial" w:hAnsi="Arial" w:cs="Arial"/>
          <w:sz w:val="24"/>
          <w:szCs w:val="24"/>
        </w:rPr>
        <w:t xml:space="preserve">, </w:t>
      </w:r>
      <w:r w:rsidR="00D12482" w:rsidRPr="00D12482">
        <w:rPr>
          <w:rFonts w:ascii="Arial" w:hAnsi="Arial" w:cs="Arial"/>
          <w:sz w:val="24"/>
          <w:szCs w:val="24"/>
        </w:rPr>
        <w:t>podľa toho, ktorá okolnosť nastane skôr</w:t>
      </w:r>
      <w:r w:rsidR="00D12482" w:rsidRPr="00D12482">
        <w:rPr>
          <w:rFonts w:ascii="Arial" w:hAnsi="Arial" w:cs="Arial"/>
          <w:sz w:val="24"/>
          <w:szCs w:val="24"/>
        </w:rPr>
        <w:t>.</w:t>
      </w:r>
    </w:p>
    <w:p w14:paraId="29A222F5" w14:textId="21EAAC63" w:rsidR="004A466A" w:rsidRDefault="004A466A" w:rsidP="003D4893">
      <w:pPr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</w:rPr>
        <w:br/>
      </w:r>
      <w:r w:rsidRPr="006E5DC8">
        <w:rPr>
          <w:rFonts w:ascii="Arial" w:hAnsi="Arial" w:cs="Arial"/>
          <w:sz w:val="24"/>
          <w:szCs w:val="24"/>
        </w:rPr>
        <w:t>Posúdenie súčasného stavu má za cieľ definovanie požiadaviek vyplývajúcej z legislatívy stanovenej Zákonom č. 95/2019 Z. z.  Zákonom č. 69/2018 Z. (Zákonom o kybernetickej bezpečnosti),</w:t>
      </w:r>
      <w:r w:rsidRPr="006E5D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5DC8">
        <w:rPr>
          <w:rFonts w:ascii="Arial" w:hAnsi="Arial" w:cs="Arial"/>
          <w:sz w:val="24"/>
          <w:szCs w:val="24"/>
        </w:rPr>
        <w:t>a</w:t>
      </w:r>
      <w:r w:rsidR="00D12482">
        <w:rPr>
          <w:rFonts w:ascii="Arial" w:hAnsi="Arial" w:cs="Arial"/>
          <w:sz w:val="24"/>
          <w:szCs w:val="24"/>
        </w:rPr>
        <w:t xml:space="preserve"> zabezpečenia kvality podľa </w:t>
      </w:r>
      <w:r w:rsidR="00D12482" w:rsidRPr="003D4893">
        <w:rPr>
          <w:rFonts w:ascii="Arial" w:hAnsi="Arial" w:cs="Arial"/>
          <w:b/>
          <w:sz w:val="24"/>
          <w:szCs w:val="24"/>
        </w:rPr>
        <w:t>normy ISO</w:t>
      </w:r>
      <w:r w:rsidR="007445D8" w:rsidRPr="003D4893">
        <w:rPr>
          <w:rFonts w:ascii="Arial" w:hAnsi="Arial" w:cs="Arial"/>
          <w:b/>
          <w:sz w:val="24"/>
          <w:szCs w:val="24"/>
        </w:rPr>
        <w:t xml:space="preserve"> 9001</w:t>
      </w:r>
      <w:r w:rsidR="007445D8">
        <w:rPr>
          <w:rFonts w:ascii="Arial" w:hAnsi="Arial" w:cs="Arial"/>
          <w:sz w:val="24"/>
          <w:szCs w:val="24"/>
        </w:rPr>
        <w:t xml:space="preserve"> v oblasti informačných technológií, alebo ekvivalent, resp. rovnocenný dôkaz o opatreniach na zabezpečenie  kvality pre uvedenú oblasť, resp. oblasť rovnocennú predmetu zákazky podľa požiadaviek na vystavenie príslušného certifikátu </w:t>
      </w:r>
      <w:r w:rsidR="007445D8" w:rsidRPr="006E5DC8">
        <w:rPr>
          <w:rFonts w:ascii="Arial" w:hAnsi="Arial" w:cs="Arial"/>
          <w:sz w:val="24"/>
          <w:szCs w:val="24"/>
        </w:rPr>
        <w:t>a</w:t>
      </w:r>
      <w:r w:rsidR="007445D8">
        <w:rPr>
          <w:rFonts w:ascii="Arial" w:hAnsi="Arial" w:cs="Arial"/>
          <w:sz w:val="24"/>
          <w:szCs w:val="24"/>
        </w:rPr>
        <w:t xml:space="preserve"> zabezpečenia kvality podľa </w:t>
      </w:r>
      <w:r w:rsidR="007445D8" w:rsidRPr="003D4893">
        <w:rPr>
          <w:rFonts w:ascii="Arial" w:hAnsi="Arial" w:cs="Arial"/>
          <w:b/>
          <w:sz w:val="24"/>
          <w:szCs w:val="24"/>
        </w:rPr>
        <w:t xml:space="preserve">normy ISO </w:t>
      </w:r>
      <w:r w:rsidR="007445D8" w:rsidRPr="003D4893">
        <w:rPr>
          <w:rFonts w:ascii="Arial" w:hAnsi="Arial" w:cs="Arial"/>
          <w:b/>
          <w:sz w:val="24"/>
          <w:szCs w:val="24"/>
        </w:rPr>
        <w:t>27001</w:t>
      </w:r>
      <w:r w:rsidR="007445D8">
        <w:rPr>
          <w:rFonts w:ascii="Arial" w:hAnsi="Arial" w:cs="Arial"/>
          <w:sz w:val="24"/>
          <w:szCs w:val="24"/>
        </w:rPr>
        <w:t xml:space="preserve"> v oblasti </w:t>
      </w:r>
      <w:r w:rsidR="003D4893">
        <w:rPr>
          <w:rFonts w:ascii="Arial" w:hAnsi="Arial" w:cs="Arial"/>
          <w:sz w:val="24"/>
          <w:szCs w:val="24"/>
        </w:rPr>
        <w:t>systému riadenia bezpečnosti informácií</w:t>
      </w:r>
      <w:r w:rsidR="007445D8">
        <w:rPr>
          <w:rFonts w:ascii="Arial" w:hAnsi="Arial" w:cs="Arial"/>
          <w:sz w:val="24"/>
          <w:szCs w:val="24"/>
        </w:rPr>
        <w:t>, alebo ekvivalent, resp. rovnocenný dôkaz o opatreniach na zabezpečenie  kvality pre uvedenú oblasť, resp. oblasť rovnocennú predmetu zákazky podľa požiadaviek na vyst</w:t>
      </w:r>
      <w:r w:rsidR="003D4893">
        <w:rPr>
          <w:rFonts w:ascii="Arial" w:hAnsi="Arial" w:cs="Arial"/>
          <w:sz w:val="24"/>
          <w:szCs w:val="24"/>
        </w:rPr>
        <w:t xml:space="preserve">avenie príslušného </w:t>
      </w:r>
      <w:r w:rsidR="007445D8">
        <w:rPr>
          <w:rFonts w:ascii="Arial" w:hAnsi="Arial" w:cs="Arial"/>
          <w:sz w:val="24"/>
          <w:szCs w:val="24"/>
        </w:rPr>
        <w:t>certifikátu.</w:t>
      </w:r>
    </w:p>
    <w:p w14:paraId="42E405AA" w14:textId="77777777" w:rsidR="003D4893" w:rsidRPr="006E5DC8" w:rsidRDefault="003D4893" w:rsidP="003D4893">
      <w:pPr>
        <w:jc w:val="both"/>
        <w:rPr>
          <w:rFonts w:ascii="Arial" w:hAnsi="Arial" w:cs="Arial"/>
          <w:sz w:val="24"/>
          <w:szCs w:val="24"/>
        </w:rPr>
      </w:pPr>
    </w:p>
    <w:p w14:paraId="4DF3E114" w14:textId="5D33B87C" w:rsidR="003D4893" w:rsidRDefault="004A466A" w:rsidP="003D4893">
      <w:pPr>
        <w:spacing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6E5DC8">
        <w:rPr>
          <w:rFonts w:ascii="Arial" w:hAnsi="Arial" w:cs="Arial"/>
          <w:sz w:val="24"/>
          <w:szCs w:val="24"/>
        </w:rPr>
        <w:t>Návrh cieľového stavu musí zabezpečiť súlad prevádzkových procesov správy informačných systémov Národného centra zdravotníckych informácii ( ďalej len NCZI),  interných smerníc a bezpečnostných politík pre informačné systémy (ďalej len IS) v pôsobnosti NCZI, v oblasti bezpečnosti, s požiadav</w:t>
      </w:r>
      <w:r w:rsidR="003D4893">
        <w:rPr>
          <w:rFonts w:ascii="Arial" w:hAnsi="Arial" w:cs="Arial"/>
          <w:sz w:val="24"/>
          <w:szCs w:val="24"/>
        </w:rPr>
        <w:t xml:space="preserve">kami vyplývajúcich z menovaných </w:t>
      </w:r>
      <w:r w:rsidRPr="006E5DC8">
        <w:rPr>
          <w:rFonts w:ascii="Arial" w:hAnsi="Arial" w:cs="Arial"/>
          <w:sz w:val="24"/>
          <w:szCs w:val="24"/>
        </w:rPr>
        <w:t>zákonov</w:t>
      </w:r>
      <w:r w:rsidR="003D4893">
        <w:rPr>
          <w:rFonts w:ascii="Arial" w:hAnsi="Arial" w:cs="Arial"/>
          <w:sz w:val="24"/>
          <w:szCs w:val="24"/>
        </w:rPr>
        <w:t xml:space="preserve"> v znení neskorších predpisov. </w:t>
      </w:r>
      <w:r w:rsidRPr="006E5DC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Národné centrum zdravotníckych informácií (NCZI) je štátna príspevková organizácia, ktorej zriaďovateľom je Ministerstvo zdravotníctva Slovenskej republiky. Postavenie a úlohy NCZI upravuje </w:t>
      </w:r>
      <w:hyperlink r:id="rId7" w:tgtFrame="_blank" w:history="1">
        <w:r w:rsidRPr="006E5DC8">
          <w:rPr>
            <w:rFonts w:ascii="Arial" w:eastAsia="Times New Roman" w:hAnsi="Arial" w:cs="Arial"/>
            <w:b/>
            <w:bCs/>
            <w:color w:val="3799E4"/>
            <w:sz w:val="24"/>
            <w:szCs w:val="24"/>
            <w:u w:val="single"/>
            <w:lang w:eastAsia="sk-SK"/>
          </w:rPr>
          <w:t>zákon č. 153/2013 Z. z. o národnom zdravotníckom informačnom systéme</w:t>
        </w:r>
      </w:hyperlink>
      <w:r w:rsidRPr="006E5DC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a o zmene a doplnení niektorých zákonov </w:t>
      </w:r>
      <w:r w:rsidR="003D489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v znení neskorších predpisov. </w:t>
      </w:r>
      <w:r w:rsidR="003D4893">
        <w:rPr>
          <w:rFonts w:ascii="Arial" w:eastAsia="Times New Roman" w:hAnsi="Arial" w:cs="Arial"/>
          <w:color w:val="000000"/>
          <w:sz w:val="24"/>
          <w:szCs w:val="24"/>
          <w:lang w:eastAsia="sk-SK"/>
        </w:rPr>
        <w:br/>
      </w:r>
    </w:p>
    <w:p w14:paraId="4C23D543" w14:textId="75E7855B" w:rsidR="004A466A" w:rsidRPr="006E5DC8" w:rsidRDefault="004A466A" w:rsidP="003D4893">
      <w:pPr>
        <w:spacing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6E5DC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NCZI vykonáva úlohy v oblasti: </w:t>
      </w:r>
    </w:p>
    <w:p w14:paraId="15B95764" w14:textId="77777777" w:rsidR="004A466A" w:rsidRPr="006E5DC8" w:rsidRDefault="0031563A" w:rsidP="003D4893">
      <w:pPr>
        <w:numPr>
          <w:ilvl w:val="0"/>
          <w:numId w:val="7"/>
        </w:numPr>
        <w:spacing w:before="100" w:beforeAutospacing="1" w:after="100" w:afterAutospacing="1" w:line="288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hyperlink r:id="rId8" w:history="1">
        <w:r w:rsidR="004A466A" w:rsidRPr="006E5DC8">
          <w:rPr>
            <w:rFonts w:ascii="Arial" w:eastAsia="Times New Roman" w:hAnsi="Arial" w:cs="Arial"/>
            <w:b/>
            <w:bCs/>
            <w:color w:val="3799E4"/>
            <w:sz w:val="24"/>
            <w:szCs w:val="24"/>
            <w:u w:val="single"/>
            <w:lang w:eastAsia="sk-SK"/>
          </w:rPr>
          <w:t>informatizácie zdravotníctva, správy národného zdravotníckeho informačného systému,</w:t>
        </w:r>
      </w:hyperlink>
    </w:p>
    <w:p w14:paraId="025A47F6" w14:textId="77777777" w:rsidR="004A466A" w:rsidRPr="006E5DC8" w:rsidRDefault="0031563A" w:rsidP="003D4893">
      <w:pPr>
        <w:numPr>
          <w:ilvl w:val="0"/>
          <w:numId w:val="7"/>
        </w:numPr>
        <w:spacing w:before="100" w:beforeAutospacing="1" w:after="100" w:afterAutospacing="1" w:line="288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hyperlink r:id="rId9" w:history="1">
        <w:r w:rsidR="004A466A" w:rsidRPr="006E5DC8">
          <w:rPr>
            <w:rFonts w:ascii="Arial" w:eastAsia="Times New Roman" w:hAnsi="Arial" w:cs="Arial"/>
            <w:b/>
            <w:bCs/>
            <w:color w:val="3799E4"/>
            <w:sz w:val="24"/>
            <w:szCs w:val="24"/>
            <w:u w:val="single"/>
            <w:lang w:eastAsia="sk-SK"/>
          </w:rPr>
          <w:t>štandardizácie zdravotníckej informatiky,</w:t>
        </w:r>
      </w:hyperlink>
    </w:p>
    <w:p w14:paraId="5C87576C" w14:textId="77777777" w:rsidR="004A466A" w:rsidRPr="006E5DC8" w:rsidRDefault="0031563A" w:rsidP="003D4893">
      <w:pPr>
        <w:numPr>
          <w:ilvl w:val="0"/>
          <w:numId w:val="7"/>
        </w:numPr>
        <w:spacing w:before="100" w:beforeAutospacing="1" w:after="100" w:afterAutospacing="1" w:line="288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hyperlink r:id="rId10" w:history="1">
        <w:r w:rsidR="004A466A" w:rsidRPr="006E5DC8">
          <w:rPr>
            <w:rFonts w:ascii="Arial" w:eastAsia="Times New Roman" w:hAnsi="Arial" w:cs="Arial"/>
            <w:b/>
            <w:bCs/>
            <w:color w:val="3799E4"/>
            <w:sz w:val="24"/>
            <w:szCs w:val="24"/>
            <w:u w:val="single"/>
            <w:lang w:eastAsia="sk-SK"/>
          </w:rPr>
          <w:t>zdravotníckej štatistiky,</w:t>
        </w:r>
      </w:hyperlink>
    </w:p>
    <w:p w14:paraId="4F31A6C6" w14:textId="77777777" w:rsidR="004A466A" w:rsidRPr="006E5DC8" w:rsidRDefault="0031563A" w:rsidP="003D4893">
      <w:pPr>
        <w:numPr>
          <w:ilvl w:val="0"/>
          <w:numId w:val="7"/>
        </w:numPr>
        <w:spacing w:before="100" w:beforeAutospacing="1" w:after="100" w:afterAutospacing="1" w:line="288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hyperlink r:id="rId11" w:history="1">
        <w:r w:rsidR="004A466A" w:rsidRPr="006E5DC8">
          <w:rPr>
            <w:rFonts w:ascii="Arial" w:eastAsia="Times New Roman" w:hAnsi="Arial" w:cs="Arial"/>
            <w:b/>
            <w:bCs/>
            <w:color w:val="3799E4"/>
            <w:sz w:val="24"/>
            <w:szCs w:val="24"/>
            <w:u w:val="single"/>
            <w:lang w:eastAsia="sk-SK"/>
          </w:rPr>
          <w:t>správy národných zdravotníckych administratívnych registrov a národných zdravotných registrov,</w:t>
        </w:r>
      </w:hyperlink>
    </w:p>
    <w:p w14:paraId="3ED7D0EC" w14:textId="77777777" w:rsidR="004A466A" w:rsidRPr="006E5DC8" w:rsidRDefault="0031563A" w:rsidP="003D4893">
      <w:pPr>
        <w:numPr>
          <w:ilvl w:val="0"/>
          <w:numId w:val="7"/>
        </w:numPr>
        <w:spacing w:before="100" w:beforeAutospacing="1" w:afterAutospacing="1" w:line="288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hyperlink r:id="rId12" w:history="1">
        <w:r w:rsidR="004A466A" w:rsidRPr="006E5DC8">
          <w:rPr>
            <w:rFonts w:ascii="Arial" w:eastAsia="Times New Roman" w:hAnsi="Arial" w:cs="Arial"/>
            <w:b/>
            <w:bCs/>
            <w:color w:val="3799E4"/>
            <w:sz w:val="24"/>
            <w:szCs w:val="24"/>
            <w:u w:val="single"/>
            <w:lang w:eastAsia="sk-SK"/>
          </w:rPr>
          <w:t xml:space="preserve">poskytovania knižnično-informačných služieb z oblasti lekárskych vied a zdravotníctva. </w:t>
        </w:r>
      </w:hyperlink>
    </w:p>
    <w:p w14:paraId="7876C326" w14:textId="42CFD389" w:rsidR="004A466A" w:rsidRPr="006E5DC8" w:rsidRDefault="004A466A" w:rsidP="003D4893">
      <w:pPr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eastAsia="Times New Roman" w:hAnsi="Arial" w:cs="Arial"/>
          <w:color w:val="000000"/>
          <w:sz w:val="24"/>
          <w:szCs w:val="24"/>
          <w:lang w:eastAsia="sk-SK"/>
        </w:rPr>
        <w:br/>
        <w:t>NCZI v rámci svojej činnosti spolupracuje s inštitúciami ako sú Štatistický úrad Slovenskej republiky, Úrad pre dohľad nad zdravotnou starostlivosťou, Úrad verejného zdravotníctva, Štátny ústav pre kontrolu liečiv, ústavy SAV, poskytovatelia zdravotnej starostlivosti, zdravotnícke profesijné a stavovské organizácie, zdravotné poisťovne a</w:t>
      </w:r>
      <w:r w:rsidR="003D489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  <w:r w:rsidRPr="006E5DC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lekárske</w:t>
      </w:r>
      <w:r w:rsidR="006E5DC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j</w:t>
      </w:r>
      <w:r w:rsidR="003D4893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°</w:t>
      </w:r>
      <w:r w:rsidRPr="006E5DC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fakulty. </w:t>
      </w:r>
      <w:r w:rsidRPr="006E5DC8">
        <w:rPr>
          <w:rFonts w:ascii="Arial" w:eastAsia="Times New Roman" w:hAnsi="Arial" w:cs="Arial"/>
          <w:color w:val="000000"/>
          <w:sz w:val="24"/>
          <w:szCs w:val="24"/>
          <w:lang w:eastAsia="sk-SK"/>
        </w:rPr>
        <w:br/>
      </w:r>
      <w:r w:rsidRPr="006E5DC8">
        <w:rPr>
          <w:rFonts w:ascii="Arial" w:eastAsia="Times New Roman" w:hAnsi="Arial" w:cs="Arial"/>
          <w:color w:val="000000"/>
          <w:sz w:val="24"/>
          <w:szCs w:val="24"/>
          <w:lang w:eastAsia="sk-SK"/>
        </w:rPr>
        <w:br/>
        <w:t>Na medzinárodnej úrovni NCZI spolupracuje s WHO, OECD, EUROSTAT a EMCDDA.</w:t>
      </w:r>
    </w:p>
    <w:p w14:paraId="7F298BB3" w14:textId="3532C1DC" w:rsidR="004A466A" w:rsidRDefault="004A466A" w:rsidP="003D4893">
      <w:pPr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</w:rPr>
        <w:br/>
      </w:r>
      <w:r w:rsidRPr="006E5DC8">
        <w:rPr>
          <w:rFonts w:ascii="Arial" w:hAnsi="Arial" w:cs="Arial"/>
          <w:sz w:val="24"/>
          <w:szCs w:val="24"/>
        </w:rPr>
        <w:t>Bližšie podrobnosti sú uvedené</w:t>
      </w:r>
      <w:r w:rsidR="003D4893">
        <w:rPr>
          <w:rFonts w:ascii="Arial" w:hAnsi="Arial" w:cs="Arial"/>
          <w:sz w:val="24"/>
          <w:szCs w:val="24"/>
        </w:rPr>
        <w:t xml:space="preserve"> na </w:t>
      </w:r>
      <w:hyperlink r:id="rId13" w:history="1">
        <w:r w:rsidR="003D4893" w:rsidRPr="008B1CF4">
          <w:rPr>
            <w:rStyle w:val="Hypertextovprepojenie"/>
            <w:rFonts w:ascii="Arial" w:hAnsi="Arial" w:cs="Arial"/>
            <w:sz w:val="24"/>
            <w:szCs w:val="24"/>
          </w:rPr>
          <w:t>http://www.n</w:t>
        </w:r>
        <w:r w:rsidR="003D4893" w:rsidRPr="008B1CF4">
          <w:rPr>
            <w:rStyle w:val="Hypertextovprepojenie"/>
            <w:rFonts w:ascii="Arial" w:hAnsi="Arial" w:cs="Arial"/>
            <w:sz w:val="24"/>
            <w:szCs w:val="24"/>
          </w:rPr>
          <w:t>c</w:t>
        </w:r>
        <w:r w:rsidR="003D4893" w:rsidRPr="008B1CF4">
          <w:rPr>
            <w:rStyle w:val="Hypertextovprepojenie"/>
            <w:rFonts w:ascii="Arial" w:hAnsi="Arial" w:cs="Arial"/>
            <w:sz w:val="24"/>
            <w:szCs w:val="24"/>
          </w:rPr>
          <w:t>zisk.sk/O-nas/</w:t>
        </w:r>
      </w:hyperlink>
    </w:p>
    <w:p w14:paraId="77E15ED1" w14:textId="7743D5A8" w:rsidR="004A466A" w:rsidRPr="006E5DC8" w:rsidRDefault="004A466A" w:rsidP="003D4893">
      <w:pPr>
        <w:rPr>
          <w:rFonts w:ascii="Arial" w:hAnsi="Arial" w:cs="Arial"/>
          <w:b/>
          <w:bCs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V súvislosti § 14 zákona č. Zákon  č. 95/2019 Z. z.  musí tento návrh obsahovať posúdenie, úpravu a spôsob aplikovania procesov, nastavenia riadenia bezpečnosti a politík pre NCZI, v týchto oblastiach:</w:t>
      </w:r>
      <w:r w:rsidRPr="006E5DC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E5DC8">
        <w:rPr>
          <w:rFonts w:ascii="Arial" w:hAnsi="Arial" w:cs="Arial"/>
        </w:rPr>
        <w:br/>
      </w:r>
    </w:p>
    <w:p w14:paraId="1BFF5D75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Personálna bezpečnosť</w:t>
      </w:r>
    </w:p>
    <w:p w14:paraId="2EB109C7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Fyzická bezpečnosť a bezpečnosť prostredí s osobitným režimom</w:t>
      </w:r>
    </w:p>
    <w:p w14:paraId="58D0DA94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Riadenie informačnej bezpečnosti</w:t>
      </w:r>
    </w:p>
    <w:p w14:paraId="5F5E3DF3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Kontrolné mechanizmy informačnej bezpečnosti</w:t>
      </w:r>
    </w:p>
    <w:p w14:paraId="3D7B797B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Správa a monitoring bezpečnostných incidentov</w:t>
      </w:r>
    </w:p>
    <w:p w14:paraId="44F0343B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Ochrana proti nežiaducemu a škodlivému kódu</w:t>
      </w:r>
    </w:p>
    <w:p w14:paraId="4E109F63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Sieťová bezpečnosť</w:t>
      </w:r>
    </w:p>
    <w:p w14:paraId="6EBF7EA4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Aktualizácia softvéru, patch management</w:t>
      </w:r>
    </w:p>
    <w:p w14:paraId="436A4613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Zálohovanie a disaster recovery plán</w:t>
      </w:r>
    </w:p>
    <w:p w14:paraId="5F0F2157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Riadenie prístupu, access control</w:t>
      </w:r>
    </w:p>
    <w:p w14:paraId="627EE9A9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Aktualizácia informačno-komunikačných technológií</w:t>
      </w:r>
    </w:p>
    <w:p w14:paraId="39D6D72E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Účasť tretej strany</w:t>
      </w:r>
    </w:p>
    <w:p w14:paraId="0209D0F0" w14:textId="77777777" w:rsidR="004A466A" w:rsidRPr="006E5DC8" w:rsidRDefault="004A466A" w:rsidP="004A466A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>Kryptografia a možnosti jej nasadenia</w:t>
      </w:r>
    </w:p>
    <w:p w14:paraId="3CBEE428" w14:textId="4957CAF9" w:rsidR="004A466A" w:rsidRPr="003D4893" w:rsidRDefault="004A466A" w:rsidP="004A466A">
      <w:pPr>
        <w:rPr>
          <w:rFonts w:ascii="Arial" w:hAnsi="Arial" w:cs="Arial"/>
          <w:b/>
          <w:sz w:val="24"/>
          <w:szCs w:val="24"/>
        </w:rPr>
      </w:pPr>
    </w:p>
    <w:p w14:paraId="0243B30B" w14:textId="51159C09" w:rsidR="004A466A" w:rsidRPr="003D4893" w:rsidRDefault="003D4893" w:rsidP="004A466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Požiadavky Verejného obstarávateľa</w:t>
      </w:r>
      <w:r w:rsidRPr="003D4893">
        <w:rPr>
          <w:rFonts w:ascii="Arial" w:hAnsi="Arial" w:cs="Arial"/>
          <w:b/>
          <w:sz w:val="24"/>
          <w:szCs w:val="24"/>
          <w:u w:val="single"/>
        </w:rPr>
        <w:t>, ktoré by mohli mať vplyv na stanovenie PHZ:</w:t>
      </w:r>
    </w:p>
    <w:p w14:paraId="7A385EAC" w14:textId="77777777" w:rsidR="004A466A" w:rsidRPr="006E5DC8" w:rsidRDefault="004A466A" w:rsidP="003D4893">
      <w:pPr>
        <w:jc w:val="both"/>
        <w:rPr>
          <w:rFonts w:ascii="Arial" w:hAnsi="Arial" w:cs="Arial"/>
          <w:sz w:val="24"/>
          <w:szCs w:val="24"/>
        </w:rPr>
      </w:pPr>
      <w:r w:rsidRPr="006E5DC8">
        <w:rPr>
          <w:rFonts w:ascii="Arial" w:hAnsi="Arial" w:cs="Arial"/>
          <w:sz w:val="24"/>
          <w:szCs w:val="24"/>
        </w:rPr>
        <w:t xml:space="preserve">Je vyžadovaná odborná spôsobilosť a kvalifikácia  </w:t>
      </w:r>
    </w:p>
    <w:p w14:paraId="5F94D6BC" w14:textId="77777777" w:rsidR="004A466A" w:rsidRPr="003D4893" w:rsidRDefault="004A466A" w:rsidP="003D4893">
      <w:pPr>
        <w:jc w:val="both"/>
        <w:rPr>
          <w:rFonts w:ascii="Arial" w:hAnsi="Arial" w:cs="Arial"/>
          <w:sz w:val="24"/>
          <w:szCs w:val="24"/>
        </w:rPr>
      </w:pPr>
      <w:r w:rsidRPr="003D4893">
        <w:rPr>
          <w:rFonts w:ascii="Arial" w:hAnsi="Arial" w:cs="Arial"/>
          <w:sz w:val="24"/>
          <w:szCs w:val="24"/>
        </w:rPr>
        <w:t xml:space="preserve">Konzultant pre oblasť bezpečnosti (Špecialista pre bezpečnosť IT/ Expert na informačnú bezpečnosť) </w:t>
      </w:r>
    </w:p>
    <w:p w14:paraId="6BFECA94" w14:textId="77777777" w:rsidR="004A466A" w:rsidRPr="003D4893" w:rsidRDefault="004A466A" w:rsidP="003D4893">
      <w:pPr>
        <w:jc w:val="both"/>
        <w:rPr>
          <w:rFonts w:ascii="Arial" w:hAnsi="Arial" w:cs="Arial"/>
          <w:sz w:val="24"/>
          <w:szCs w:val="24"/>
        </w:rPr>
      </w:pPr>
      <w:r w:rsidRPr="003D4893">
        <w:rPr>
          <w:rFonts w:ascii="Arial" w:hAnsi="Arial" w:cs="Arial"/>
          <w:sz w:val="24"/>
          <w:szCs w:val="24"/>
        </w:rPr>
        <w:t xml:space="preserve">- minimálne tri roky odbornej praxe v oblasti bezpečnosti informačných systémov so zameraním na ochranu osobných údajov; </w:t>
      </w:r>
    </w:p>
    <w:p w14:paraId="28AE7944" w14:textId="77777777" w:rsidR="004A466A" w:rsidRPr="003D4893" w:rsidRDefault="004A466A" w:rsidP="003D4893">
      <w:pPr>
        <w:jc w:val="both"/>
        <w:rPr>
          <w:rFonts w:ascii="Arial" w:hAnsi="Arial" w:cs="Arial"/>
          <w:sz w:val="24"/>
          <w:szCs w:val="24"/>
        </w:rPr>
      </w:pPr>
      <w:r w:rsidRPr="003D4893">
        <w:rPr>
          <w:rFonts w:ascii="Arial" w:hAnsi="Arial" w:cs="Arial"/>
          <w:sz w:val="24"/>
          <w:szCs w:val="24"/>
        </w:rPr>
        <w:t xml:space="preserve">- minimálne dve profesionálne praktické skúsenosti v oblasti bezpečnosti informačných systémov, pričom min. jedna táto profesionálna praktická skúsenosť obsahovala aj posúdenie súladu informačného systému s GDPR, a zároveň skúsenosť bola v súlade s bezpečnostnými štandardami v zmysle platnej legislatívy (napr. Zákon č. 18/2018 Z. z. o o ochrane osobných údajov a o zmene a doplnení niektorých zákonov, Zákon č. 69/2018 Z. z. o kybernetickej bezpečnosti a o zmene a doplnení niektorých zákonov, alebo ekvivalenty uvedených zákonov); </w:t>
      </w:r>
    </w:p>
    <w:p w14:paraId="486EF5F3" w14:textId="77777777" w:rsidR="004A466A" w:rsidRPr="003D4893" w:rsidRDefault="004A466A" w:rsidP="003D4893">
      <w:pPr>
        <w:jc w:val="both"/>
        <w:rPr>
          <w:rFonts w:ascii="Arial" w:hAnsi="Arial" w:cs="Arial"/>
          <w:sz w:val="24"/>
          <w:szCs w:val="24"/>
        </w:rPr>
      </w:pPr>
      <w:r w:rsidRPr="003D4893">
        <w:rPr>
          <w:rFonts w:ascii="Arial" w:hAnsi="Arial" w:cs="Arial"/>
          <w:sz w:val="24"/>
          <w:szCs w:val="24"/>
        </w:rPr>
        <w:lastRenderedPageBreak/>
        <w:t xml:space="preserve">- získaný a platný certifikát CRISC alebo CISSP alebo ekvivalenty daných certifikátov od inej akreditovanej autority. </w:t>
      </w:r>
    </w:p>
    <w:p w14:paraId="6424DE01" w14:textId="24396802" w:rsidR="004A466A" w:rsidRPr="003D4893" w:rsidRDefault="004A466A" w:rsidP="003D4893">
      <w:pPr>
        <w:jc w:val="both"/>
        <w:rPr>
          <w:rFonts w:ascii="Arial" w:hAnsi="Arial" w:cs="Arial"/>
          <w:sz w:val="24"/>
          <w:szCs w:val="24"/>
        </w:rPr>
      </w:pPr>
    </w:p>
    <w:p w14:paraId="7565B75C" w14:textId="77777777" w:rsidR="004A466A" w:rsidRPr="003D4893" w:rsidRDefault="004A466A" w:rsidP="003D4893">
      <w:pPr>
        <w:jc w:val="both"/>
        <w:rPr>
          <w:rFonts w:ascii="Arial" w:hAnsi="Arial" w:cs="Arial"/>
          <w:sz w:val="24"/>
          <w:szCs w:val="24"/>
        </w:rPr>
      </w:pPr>
      <w:r w:rsidRPr="003D4893">
        <w:rPr>
          <w:rFonts w:ascii="Arial" w:hAnsi="Arial" w:cs="Arial"/>
          <w:sz w:val="24"/>
          <w:szCs w:val="24"/>
        </w:rPr>
        <w:t xml:space="preserve">1. certifikát v oblasti zabezpečenia kvality podľa normy ISO 9001 v oblasti informačných technológií, alebo ekvivalent, resp. rovnocenný dôkaz o opatreniach na zabezpečenie kvality pre uvedenú oblasť, resp. oblasť rovnocennú predmetu zákazky podľa požiadaviek na vystavenie príslušného certifikátu; </w:t>
      </w:r>
    </w:p>
    <w:p w14:paraId="02EB378F" w14:textId="4DC68EB1" w:rsidR="00BD3924" w:rsidRDefault="004A466A" w:rsidP="003D4893">
      <w:pPr>
        <w:jc w:val="both"/>
        <w:rPr>
          <w:rFonts w:ascii="Arial" w:hAnsi="Arial" w:cs="Arial"/>
          <w:sz w:val="24"/>
          <w:szCs w:val="24"/>
        </w:rPr>
      </w:pPr>
      <w:r w:rsidRPr="003D4893">
        <w:rPr>
          <w:rFonts w:ascii="Arial" w:hAnsi="Arial" w:cs="Arial"/>
          <w:sz w:val="24"/>
          <w:szCs w:val="24"/>
        </w:rPr>
        <w:t>2. certifikát v oblasti zabezpečenia kvality podľa normy ISO 27001 v oblasti systému riadenia bezpečnosti informácií, alebo ekvivalent, resp. oblasť rovnocennú predmetu zákazky podľa požiadaviek na vystavenie príslušného certifikátu</w:t>
      </w:r>
      <w:r w:rsidR="0056034F">
        <w:rPr>
          <w:rFonts w:ascii="Arial" w:hAnsi="Arial" w:cs="Arial"/>
          <w:sz w:val="24"/>
          <w:szCs w:val="24"/>
        </w:rPr>
        <w:t>.</w:t>
      </w:r>
    </w:p>
    <w:p w14:paraId="46B2CE33" w14:textId="64A7B7AD" w:rsidR="0056034F" w:rsidRDefault="0056034F" w:rsidP="003D489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48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276"/>
        <w:gridCol w:w="1559"/>
        <w:gridCol w:w="1418"/>
        <w:gridCol w:w="1415"/>
      </w:tblGrid>
      <w:tr w:rsidR="0056034F" w:rsidRPr="00727F46" w14:paraId="4198EDAC" w14:textId="77777777" w:rsidTr="0056034F">
        <w:tc>
          <w:tcPr>
            <w:tcW w:w="1775" w:type="pct"/>
            <w:shd w:val="clear" w:color="auto" w:fill="D9D9D9" w:themeFill="background1" w:themeFillShade="D9"/>
            <w:vAlign w:val="center"/>
          </w:tcPr>
          <w:p w14:paraId="2E76F2F4" w14:textId="77777777" w:rsidR="0056034F" w:rsidRPr="00727F46" w:rsidRDefault="0056034F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Činnosť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2ACE9084" w14:textId="77777777" w:rsidR="0056034F" w:rsidRPr="00727F46" w:rsidRDefault="0056034F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Predpokladaný počet MD</w:t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518ACEBA" w14:textId="77777777" w:rsidR="0056034F" w:rsidRPr="00727F46" w:rsidRDefault="0056034F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Cena v EUR za MD bez DPH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552986F1" w14:textId="77777777" w:rsidR="0056034F" w:rsidRPr="00727F46" w:rsidRDefault="0056034F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Výsledná cena v EUR bez DPH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352AAF6E" w14:textId="77777777" w:rsidR="0056034F" w:rsidRPr="00727F46" w:rsidRDefault="0056034F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Výsledná cena v EUR s DPH</w:t>
            </w:r>
          </w:p>
        </w:tc>
      </w:tr>
      <w:tr w:rsidR="0056034F" w:rsidRPr="00727F46" w14:paraId="3919C16D" w14:textId="77777777" w:rsidTr="0056034F">
        <w:trPr>
          <w:trHeight w:val="476"/>
        </w:trPr>
        <w:tc>
          <w:tcPr>
            <w:tcW w:w="1775" w:type="pct"/>
            <w:shd w:val="clear" w:color="auto" w:fill="auto"/>
          </w:tcPr>
          <w:p w14:paraId="22E2A9BE" w14:textId="46DCD99C" w:rsidR="0056034F" w:rsidRPr="00727F46" w:rsidRDefault="0056034F" w:rsidP="0056034F">
            <w:pPr>
              <w:tabs>
                <w:tab w:val="left" w:pos="6336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Z</w:t>
            </w:r>
            <w:r w:rsidRPr="0056034F">
              <w:rPr>
                <w:rFonts w:ascii="Times New Roman" w:hAnsi="Times New Roman"/>
              </w:rPr>
              <w:t>abezpečenie podporných činnosti – konzultác</w:t>
            </w:r>
            <w:r>
              <w:rPr>
                <w:rFonts w:ascii="Times New Roman" w:hAnsi="Times New Roman"/>
              </w:rPr>
              <w:t>ií a implementácie zmien zákonov</w:t>
            </w:r>
            <w:r w:rsidRPr="0056034F">
              <w:rPr>
                <w:rFonts w:ascii="Times New Roman" w:hAnsi="Times New Roman"/>
              </w:rPr>
              <w:t xml:space="preserve"> do dokumentácie v priebehu nasledujúcich 3 rokov</w:t>
            </w:r>
          </w:p>
        </w:tc>
        <w:tc>
          <w:tcPr>
            <w:tcW w:w="726" w:type="pct"/>
            <w:vAlign w:val="center"/>
          </w:tcPr>
          <w:p w14:paraId="67614CC8" w14:textId="4B461F0B" w:rsidR="0056034F" w:rsidRPr="00727F46" w:rsidRDefault="0056034F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1ACB8820" w14:textId="77777777" w:rsidR="0056034F" w:rsidRPr="00727F46" w:rsidRDefault="0056034F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pct"/>
            <w:vAlign w:val="center"/>
          </w:tcPr>
          <w:p w14:paraId="0D31E395" w14:textId="77777777" w:rsidR="0056034F" w:rsidRPr="00727F46" w:rsidRDefault="0056034F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4DF48832" w14:textId="77777777" w:rsidR="0056034F" w:rsidRPr="00727F46" w:rsidRDefault="0056034F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2C1E5594" w14:textId="77777777" w:rsidR="0056034F" w:rsidRPr="00727F46" w:rsidRDefault="0056034F" w:rsidP="0056034F">
      <w:pPr>
        <w:tabs>
          <w:tab w:val="left" w:pos="6336"/>
        </w:tabs>
        <w:jc w:val="both"/>
        <w:rPr>
          <w:rFonts w:ascii="Times New Roman" w:hAnsi="Times New Roman"/>
        </w:rPr>
      </w:pPr>
      <w:r w:rsidRPr="00727F46">
        <w:rPr>
          <w:rFonts w:ascii="Times New Roman" w:hAnsi="Times New Roman"/>
        </w:rPr>
        <w:t>Tabuľka č.2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276"/>
        <w:gridCol w:w="1845"/>
        <w:gridCol w:w="1985"/>
      </w:tblGrid>
      <w:tr w:rsidR="00D657D6" w:rsidRPr="00727F46" w14:paraId="36F71207" w14:textId="77777777" w:rsidTr="00D657D6">
        <w:tc>
          <w:tcPr>
            <w:tcW w:w="2094" w:type="pct"/>
            <w:shd w:val="clear" w:color="auto" w:fill="D9D9D9" w:themeFill="background1" w:themeFillShade="D9"/>
            <w:vAlign w:val="center"/>
          </w:tcPr>
          <w:p w14:paraId="22C5E695" w14:textId="77777777" w:rsidR="00D657D6" w:rsidRPr="00727F46" w:rsidRDefault="00D657D6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Činnosť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1D2BB77A" w14:textId="719BA1D9" w:rsidR="00D657D6" w:rsidRPr="00727F46" w:rsidRDefault="00D657D6" w:rsidP="0056034F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 xml:space="preserve">Predpokladaný počet 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14:paraId="44786927" w14:textId="77777777" w:rsidR="00D657D6" w:rsidRPr="00727F46" w:rsidRDefault="00D657D6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Výsledná cena v EUR bez DPH</w:t>
            </w:r>
          </w:p>
        </w:tc>
        <w:tc>
          <w:tcPr>
            <w:tcW w:w="1131" w:type="pct"/>
            <w:shd w:val="clear" w:color="auto" w:fill="D9D9D9" w:themeFill="background1" w:themeFillShade="D9"/>
            <w:vAlign w:val="center"/>
          </w:tcPr>
          <w:p w14:paraId="5A66DB47" w14:textId="77777777" w:rsidR="00D657D6" w:rsidRPr="00727F46" w:rsidRDefault="00D657D6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  <w:b/>
              </w:rPr>
            </w:pPr>
            <w:r w:rsidRPr="00727F46">
              <w:rPr>
                <w:rFonts w:ascii="Times New Roman" w:hAnsi="Times New Roman"/>
                <w:b/>
              </w:rPr>
              <w:t>Výsledná cena v EUR s DPH</w:t>
            </w:r>
          </w:p>
        </w:tc>
      </w:tr>
      <w:tr w:rsidR="00D657D6" w:rsidRPr="00727F46" w14:paraId="0A36EF31" w14:textId="77777777" w:rsidTr="00D657D6">
        <w:trPr>
          <w:trHeight w:val="476"/>
        </w:trPr>
        <w:tc>
          <w:tcPr>
            <w:tcW w:w="2094" w:type="pct"/>
            <w:shd w:val="clear" w:color="auto" w:fill="auto"/>
            <w:vAlign w:val="center"/>
          </w:tcPr>
          <w:p w14:paraId="644C4D8D" w14:textId="39CB5B04" w:rsidR="00D657D6" w:rsidRPr="0056034F" w:rsidRDefault="00D657D6" w:rsidP="0056034F">
            <w:pPr>
              <w:tabs>
                <w:tab w:val="left" w:pos="633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6034F">
              <w:rPr>
                <w:rFonts w:ascii="Times New Roman" w:hAnsi="Times New Roman"/>
              </w:rPr>
              <w:t>osúdenie súčasného stavu implementovanej dokumentácie</w:t>
            </w:r>
          </w:p>
          <w:p w14:paraId="5E47FBB4" w14:textId="71CB81AF" w:rsidR="00D657D6" w:rsidRPr="0056034F" w:rsidRDefault="00D657D6" w:rsidP="0056034F">
            <w:pPr>
              <w:tabs>
                <w:tab w:val="left" w:pos="633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56034F">
              <w:rPr>
                <w:rFonts w:ascii="Times New Roman" w:hAnsi="Times New Roman"/>
              </w:rPr>
              <w:t xml:space="preserve">ávrh cieľového stavu v rozsahu definovanom v  Prílohe č. 1, </w:t>
            </w:r>
          </w:p>
          <w:p w14:paraId="3F7B6B36" w14:textId="295E07AD" w:rsidR="00D657D6" w:rsidRPr="00D657D6" w:rsidRDefault="00D657D6" w:rsidP="00D657D6">
            <w:pPr>
              <w:tabs>
                <w:tab w:val="left" w:pos="633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56034F">
              <w:rPr>
                <w:rFonts w:ascii="Times New Roman" w:hAnsi="Times New Roman"/>
              </w:rPr>
              <w:t xml:space="preserve">ypracovanie bezpečnostnej dokumentácie v požadovanej granularite detailne definovanej v Prílohe č.1 </w:t>
            </w:r>
          </w:p>
        </w:tc>
        <w:tc>
          <w:tcPr>
            <w:tcW w:w="726" w:type="pct"/>
            <w:vAlign w:val="center"/>
          </w:tcPr>
          <w:p w14:paraId="7CCCDA32" w14:textId="65D008F6" w:rsidR="00D657D6" w:rsidRPr="00727F46" w:rsidRDefault="00D657D6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celok</w:t>
            </w:r>
          </w:p>
        </w:tc>
        <w:tc>
          <w:tcPr>
            <w:tcW w:w="1048" w:type="pct"/>
            <w:vAlign w:val="center"/>
          </w:tcPr>
          <w:p w14:paraId="58975F86" w14:textId="77777777" w:rsidR="00D657D6" w:rsidRPr="00727F46" w:rsidRDefault="00D657D6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pct"/>
            <w:vAlign w:val="center"/>
          </w:tcPr>
          <w:p w14:paraId="4238703F" w14:textId="77777777" w:rsidR="00D657D6" w:rsidRPr="00727F46" w:rsidRDefault="00D657D6" w:rsidP="00C17676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6034F" w:rsidRPr="00727F46" w14:paraId="60873215" w14:textId="77777777" w:rsidTr="00D65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92"/>
        </w:trPr>
        <w:tc>
          <w:tcPr>
            <w:tcW w:w="38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D728" w14:textId="77777777" w:rsidR="0056034F" w:rsidRPr="00727F46" w:rsidRDefault="0056034F" w:rsidP="00C17676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727F46">
              <w:rPr>
                <w:rFonts w:ascii="Times New Roman" w:hAnsi="Times New Roman"/>
                <w:color w:val="000000"/>
              </w:rPr>
              <w:t xml:space="preserve">Cena celkom bez DPH .- </w:t>
            </w:r>
            <w:r w:rsidRPr="00727F46">
              <w:rPr>
                <w:rFonts w:ascii="Times New Roman" w:hAnsi="Times New Roman"/>
                <w:b/>
                <w:color w:val="FF0000"/>
              </w:rPr>
              <w:t>súčet tabuliek 1 a 2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8507C0" w14:textId="77777777" w:rsidR="0056034F" w:rsidRPr="00727F46" w:rsidRDefault="0056034F" w:rsidP="00C17676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56034F" w:rsidRPr="00727F46" w14:paraId="4A5B5CD3" w14:textId="77777777" w:rsidTr="00D65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38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2798" w14:textId="77777777" w:rsidR="0056034F" w:rsidRPr="00727F46" w:rsidRDefault="0056034F" w:rsidP="00C17676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727F46">
              <w:rPr>
                <w:rFonts w:ascii="Times New Roman" w:hAnsi="Times New Roman"/>
                <w:color w:val="000000"/>
              </w:rPr>
              <w:t>DPH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0D580" w14:textId="77777777" w:rsidR="0056034F" w:rsidRPr="00727F46" w:rsidRDefault="0056034F" w:rsidP="00C17676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56034F" w:rsidRPr="00727F46" w14:paraId="742EF06F" w14:textId="77777777" w:rsidTr="00D65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9"/>
        </w:trPr>
        <w:tc>
          <w:tcPr>
            <w:tcW w:w="38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F5E0" w14:textId="77777777" w:rsidR="0056034F" w:rsidRPr="00727F46" w:rsidRDefault="0056034F" w:rsidP="00C17676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727F46">
              <w:rPr>
                <w:rFonts w:ascii="Times New Roman" w:hAnsi="Times New Roman"/>
                <w:color w:val="000000"/>
              </w:rPr>
              <w:t xml:space="preserve">Cena celkom vrátane DPH - </w:t>
            </w:r>
            <w:r w:rsidRPr="00727F46">
              <w:rPr>
                <w:rFonts w:ascii="Times New Roman" w:hAnsi="Times New Roman"/>
                <w:b/>
                <w:color w:val="FF0000"/>
              </w:rPr>
              <w:t>súčet tabuliek 1 a 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6972" w14:textId="77777777" w:rsidR="0056034F" w:rsidRPr="00727F46" w:rsidRDefault="0056034F" w:rsidP="00C17676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4AC4B92C" w14:textId="4E058D69" w:rsidR="0056034F" w:rsidRPr="00D657D6" w:rsidRDefault="0056034F" w:rsidP="0056034F">
      <w:pPr>
        <w:widowControl w:val="0"/>
        <w:tabs>
          <w:tab w:val="left" w:pos="612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657D6">
        <w:rPr>
          <w:rFonts w:ascii="Arial" w:hAnsi="Arial" w:cs="Arial"/>
          <w:sz w:val="24"/>
          <w:szCs w:val="24"/>
        </w:rPr>
        <w:t xml:space="preserve">Ak uchádzač nie je platcom DPH, uvedie navrhované ceny ako konečné. Súčasne na túto skutočnosť v ponuke upozorní. </w:t>
      </w:r>
    </w:p>
    <w:p w14:paraId="7800A7F2" w14:textId="77777777" w:rsidR="0056034F" w:rsidRPr="00D657D6" w:rsidRDefault="0056034F" w:rsidP="0056034F">
      <w:pPr>
        <w:widowControl w:val="0"/>
        <w:tabs>
          <w:tab w:val="left" w:pos="612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</w:p>
    <w:p w14:paraId="724927FA" w14:textId="16066D4C" w:rsidR="0056034F" w:rsidRPr="003D4893" w:rsidRDefault="0056034F" w:rsidP="00D657D6">
      <w:pPr>
        <w:widowControl w:val="0"/>
        <w:tabs>
          <w:tab w:val="left" w:pos="612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 w:rsidRPr="00D657D6">
        <w:rPr>
          <w:rFonts w:ascii="Arial" w:hAnsi="Arial" w:cs="Arial"/>
          <w:sz w:val="24"/>
          <w:szCs w:val="24"/>
        </w:rPr>
        <w:t>Kritériom na vyhodnotenie PHZ  je najnižšia cena v Eur bez  DPH, ktorú predstavuje súčet výsledných cien bez DPH z tabuľky 1 a 2.</w:t>
      </w:r>
    </w:p>
    <w:sectPr w:rsidR="0056034F" w:rsidRPr="003D4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CC3B4" w14:textId="77777777" w:rsidR="0031563A" w:rsidRDefault="0031563A" w:rsidP="006269BE">
      <w:pPr>
        <w:spacing w:line="240" w:lineRule="auto"/>
      </w:pPr>
      <w:r>
        <w:separator/>
      </w:r>
    </w:p>
  </w:endnote>
  <w:endnote w:type="continuationSeparator" w:id="0">
    <w:p w14:paraId="2C4F13FA" w14:textId="77777777" w:rsidR="0031563A" w:rsidRDefault="0031563A" w:rsidP="00626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3599A" w14:textId="77777777" w:rsidR="0031563A" w:rsidRDefault="0031563A" w:rsidP="006269BE">
      <w:pPr>
        <w:spacing w:line="240" w:lineRule="auto"/>
      </w:pPr>
      <w:r>
        <w:separator/>
      </w:r>
    </w:p>
  </w:footnote>
  <w:footnote w:type="continuationSeparator" w:id="0">
    <w:p w14:paraId="084247EC" w14:textId="77777777" w:rsidR="0031563A" w:rsidRDefault="0031563A" w:rsidP="006269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in;height:3in" o:bullet="t"/>
    </w:pict>
  </w:numPicBullet>
  <w:numPicBullet w:numPicBulletId="1">
    <w:pict>
      <v:shape id="_x0000_i1097" type="#_x0000_t75" style="width:3in;height:3in" o:bullet="t"/>
    </w:pict>
  </w:numPicBullet>
  <w:abstractNum w:abstractNumId="0" w15:restartNumberingAfterBreak="0">
    <w:nsid w:val="01EA1B48"/>
    <w:multiLevelType w:val="hybridMultilevel"/>
    <w:tmpl w:val="98D83674"/>
    <w:lvl w:ilvl="0" w:tplc="664031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027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0D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4B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24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2B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04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A9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65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1E3F"/>
    <w:multiLevelType w:val="hybridMultilevel"/>
    <w:tmpl w:val="084E0AFC"/>
    <w:lvl w:ilvl="0" w:tplc="B366DB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C67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07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87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83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06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6C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48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93698"/>
    <w:multiLevelType w:val="multilevel"/>
    <w:tmpl w:val="542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70986"/>
    <w:multiLevelType w:val="hybridMultilevel"/>
    <w:tmpl w:val="096E1834"/>
    <w:lvl w:ilvl="0" w:tplc="F9C498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3C0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06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62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C4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8E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A1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67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71CF4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1D9667C"/>
    <w:multiLevelType w:val="hybridMultilevel"/>
    <w:tmpl w:val="C6D08BAE"/>
    <w:lvl w:ilvl="0" w:tplc="0444F1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FEF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6F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20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A1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ED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4A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0A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8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76BE8"/>
    <w:multiLevelType w:val="hybridMultilevel"/>
    <w:tmpl w:val="FD6EFC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E"/>
    <w:rsid w:val="00054346"/>
    <w:rsid w:val="00124478"/>
    <w:rsid w:val="00257AB1"/>
    <w:rsid w:val="002F6ABB"/>
    <w:rsid w:val="0031563A"/>
    <w:rsid w:val="0033417B"/>
    <w:rsid w:val="00387B0C"/>
    <w:rsid w:val="003D4893"/>
    <w:rsid w:val="00455788"/>
    <w:rsid w:val="004A0F33"/>
    <w:rsid w:val="004A466A"/>
    <w:rsid w:val="005559E3"/>
    <w:rsid w:val="0056034F"/>
    <w:rsid w:val="006263F5"/>
    <w:rsid w:val="006269BE"/>
    <w:rsid w:val="00634057"/>
    <w:rsid w:val="006E5DC8"/>
    <w:rsid w:val="007425D4"/>
    <w:rsid w:val="007445D8"/>
    <w:rsid w:val="008378F1"/>
    <w:rsid w:val="009630A8"/>
    <w:rsid w:val="009D7CE2"/>
    <w:rsid w:val="00B06055"/>
    <w:rsid w:val="00D12482"/>
    <w:rsid w:val="00D26AAD"/>
    <w:rsid w:val="00D657D6"/>
    <w:rsid w:val="00D85976"/>
    <w:rsid w:val="00EF39E1"/>
    <w:rsid w:val="0A5AAE4F"/>
    <w:rsid w:val="14AD33F4"/>
    <w:rsid w:val="44B8A421"/>
    <w:rsid w:val="4509041D"/>
    <w:rsid w:val="514B6FA3"/>
    <w:rsid w:val="5781C1FF"/>
    <w:rsid w:val="685BB19C"/>
    <w:rsid w:val="6897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E661"/>
  <w15:chartTrackingRefBased/>
  <w15:docId w15:val="{BC8E1A24-3D81-4CA3-846F-5B465B67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69BE"/>
    <w:pPr>
      <w:spacing w:after="0" w:line="288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69B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269BE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269BE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269BE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69BE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69BE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269BE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269BE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269BE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Nečíslovaný zoznam"/>
    <w:basedOn w:val="Normlny"/>
    <w:link w:val="OdsekzoznamuChar"/>
    <w:uiPriority w:val="34"/>
    <w:qFormat/>
    <w:rsid w:val="006269BE"/>
    <w:pPr>
      <w:ind w:left="720"/>
      <w:contextualSpacing/>
    </w:pPr>
  </w:style>
  <w:style w:type="character" w:customStyle="1" w:styleId="OdsekzoznamuChar">
    <w:name w:val="Odsek zoznamu Char"/>
    <w:aliases w:val="Nečíslovaný zoznam Char"/>
    <w:link w:val="Odsekzoznamu"/>
    <w:uiPriority w:val="34"/>
    <w:locked/>
    <w:rsid w:val="006269BE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269B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69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269B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69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6269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269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269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269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6269B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269B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269B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269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269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4A4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A46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46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466A"/>
    <w:rPr>
      <w:rFonts w:ascii="Calibri" w:eastAsia="Calibri" w:hAnsi="Calibri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A466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466A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66A"/>
    <w:rPr>
      <w:rFonts w:ascii="Times New Roman" w:eastAsia="Calibri" w:hAnsi="Times New Roman" w:cs="Times New Roman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46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466A"/>
    <w:rPr>
      <w:rFonts w:ascii="Calibri" w:eastAsia="Calibri" w:hAnsi="Calibri" w:cs="Times New Roman"/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D48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zisk.sk/eHealth/Pages/default.aspx" TargetMode="External"/><Relationship Id="rId13" Type="http://schemas.openxmlformats.org/officeDocument/2006/relationships/hyperlink" Target="http://www.nczisk.sk/O-n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3/153/20210101.html" TargetMode="External"/><Relationship Id="rId12" Type="http://schemas.openxmlformats.org/officeDocument/2006/relationships/hyperlink" Target="http://www.sllk.sk/Pages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zisk.sk/Registre/Stranky/default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czisk.sk/Statisticke-zistovania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zisk.sk/Standardy-v-zdravotnictve/Pages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Gabriel</dc:creator>
  <cp:keywords/>
  <dc:description/>
  <cp:lastModifiedBy>Krajčíriková Helena, Mgr.</cp:lastModifiedBy>
  <cp:revision>7</cp:revision>
  <dcterms:created xsi:type="dcterms:W3CDTF">2021-05-31T09:05:00Z</dcterms:created>
  <dcterms:modified xsi:type="dcterms:W3CDTF">2021-05-31T11:46:00Z</dcterms:modified>
</cp:coreProperties>
</file>