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B4205" w14:textId="77777777" w:rsidR="005F4847" w:rsidRPr="00AE16F4" w:rsidRDefault="005F4847" w:rsidP="003F5E9A">
      <w:pPr>
        <w:tabs>
          <w:tab w:val="left" w:pos="5387"/>
        </w:tabs>
        <w:ind w:left="6096"/>
        <w:rPr>
          <w:rFonts w:ascii="Cambria" w:hAnsi="Cambria"/>
          <w:sz w:val="22"/>
          <w:szCs w:val="22"/>
          <w:lang w:val="sk-SK"/>
        </w:rPr>
      </w:pPr>
    </w:p>
    <w:p w14:paraId="7940AB41" w14:textId="2670F705" w:rsidR="00E10433" w:rsidRPr="00AE16F4" w:rsidRDefault="00EC42D7" w:rsidP="00EC42D7">
      <w:pPr>
        <w:tabs>
          <w:tab w:val="left" w:pos="5387"/>
        </w:tabs>
        <w:rPr>
          <w:rFonts w:ascii="Cambria" w:hAnsi="Cambria"/>
          <w:sz w:val="22"/>
          <w:szCs w:val="22"/>
          <w:lang w:val="sk-SK"/>
        </w:rPr>
      </w:pPr>
      <w:r>
        <w:rPr>
          <w:rFonts w:ascii="Cambria" w:hAnsi="Cambria"/>
          <w:sz w:val="22"/>
          <w:szCs w:val="22"/>
          <w:lang w:val="sk-SK"/>
        </w:rPr>
        <w:tab/>
        <w:t xml:space="preserve">           </w:t>
      </w:r>
      <w:r w:rsidR="002712F0" w:rsidRPr="00AE16F4">
        <w:rPr>
          <w:rFonts w:ascii="Cambria" w:hAnsi="Cambria"/>
          <w:sz w:val="22"/>
          <w:szCs w:val="22"/>
          <w:lang w:val="sk-SK"/>
        </w:rPr>
        <w:t>Číslo spisu:</w:t>
      </w:r>
      <w:r w:rsidR="00981F06" w:rsidRPr="00AE16F4">
        <w:rPr>
          <w:rFonts w:ascii="Cambria" w:hAnsi="Cambria"/>
          <w:sz w:val="22"/>
          <w:szCs w:val="22"/>
          <w:lang w:val="sk-SK"/>
        </w:rPr>
        <w:t xml:space="preserve"> </w:t>
      </w:r>
      <w:r w:rsidR="003F6DDC" w:rsidRPr="003F6DDC">
        <w:rPr>
          <w:rFonts w:ascii="Cambria" w:hAnsi="Cambria"/>
          <w:sz w:val="22"/>
          <w:szCs w:val="22"/>
          <w:lang w:val="sk-SK"/>
        </w:rPr>
        <w:t>NBS1-000-060-176</w:t>
      </w:r>
    </w:p>
    <w:p w14:paraId="40F6DCF7" w14:textId="6AA9B4D8" w:rsidR="00B66DB9" w:rsidRPr="00AE16F4" w:rsidRDefault="00EC42D7" w:rsidP="00EC42D7">
      <w:pPr>
        <w:tabs>
          <w:tab w:val="left" w:pos="5529"/>
        </w:tabs>
        <w:rPr>
          <w:rFonts w:ascii="Cambria" w:hAnsi="Cambria"/>
          <w:sz w:val="22"/>
          <w:szCs w:val="22"/>
          <w:lang w:val="sk-SK"/>
        </w:rPr>
      </w:pPr>
      <w:r>
        <w:rPr>
          <w:rFonts w:ascii="Cambria" w:hAnsi="Cambria"/>
          <w:sz w:val="22"/>
          <w:szCs w:val="22"/>
          <w:lang w:val="sk-SK"/>
        </w:rPr>
        <w:tab/>
        <w:t xml:space="preserve">        </w:t>
      </w:r>
      <w:r w:rsidR="00B66DB9" w:rsidRPr="00AE16F4">
        <w:rPr>
          <w:rFonts w:ascii="Cambria" w:hAnsi="Cambria"/>
          <w:sz w:val="22"/>
          <w:szCs w:val="22"/>
          <w:lang w:val="sk-SK"/>
        </w:rPr>
        <w:t>Číslo záznamu:</w:t>
      </w:r>
      <w:r w:rsidR="001F5339">
        <w:rPr>
          <w:rFonts w:ascii="Cambria" w:hAnsi="Cambria"/>
          <w:sz w:val="22"/>
          <w:szCs w:val="22"/>
          <w:lang w:val="sk-SK"/>
        </w:rPr>
        <w:t xml:space="preserve"> </w:t>
      </w:r>
      <w:r w:rsidR="008B34EF" w:rsidRPr="008B34EF">
        <w:rPr>
          <w:rFonts w:ascii="Cambria" w:hAnsi="Cambria"/>
          <w:sz w:val="22"/>
          <w:szCs w:val="22"/>
          <w:lang w:val="sk-SK"/>
        </w:rPr>
        <w:t>100-000</w:t>
      </w:r>
      <w:r w:rsidR="00E647F1">
        <w:rPr>
          <w:rFonts w:ascii="Cambria" w:hAnsi="Cambria"/>
          <w:sz w:val="22"/>
          <w:szCs w:val="22"/>
          <w:lang w:val="sk-SK"/>
        </w:rPr>
        <w:t>-</w:t>
      </w:r>
      <w:r w:rsidR="00E647F1" w:rsidRPr="00E647F1">
        <w:rPr>
          <w:rFonts w:ascii="Cambria" w:hAnsi="Cambria"/>
          <w:sz w:val="22"/>
          <w:szCs w:val="22"/>
          <w:lang w:val="sk-SK"/>
        </w:rPr>
        <w:t>296-401</w:t>
      </w:r>
    </w:p>
    <w:p w14:paraId="5987CF6A" w14:textId="5C942C41" w:rsidR="005F4847" w:rsidRPr="00AE16F4" w:rsidRDefault="00EC42D7" w:rsidP="00EC42D7">
      <w:pPr>
        <w:tabs>
          <w:tab w:val="left" w:pos="5245"/>
        </w:tabs>
        <w:rPr>
          <w:rFonts w:ascii="Cambria" w:hAnsi="Cambria"/>
          <w:sz w:val="22"/>
          <w:szCs w:val="22"/>
          <w:lang w:val="sk-SK"/>
        </w:rPr>
      </w:pPr>
      <w:r>
        <w:rPr>
          <w:rFonts w:ascii="Cambria" w:hAnsi="Cambria"/>
          <w:sz w:val="22"/>
          <w:szCs w:val="22"/>
          <w:lang w:val="sk-SK"/>
        </w:rPr>
        <w:t xml:space="preserve">                                                                                                                          </w:t>
      </w:r>
      <w:r w:rsidR="005F4847" w:rsidRPr="00AE16F4">
        <w:rPr>
          <w:rFonts w:ascii="Cambria" w:hAnsi="Cambria"/>
          <w:sz w:val="22"/>
          <w:szCs w:val="22"/>
          <w:lang w:val="sk-SK"/>
        </w:rPr>
        <w:t xml:space="preserve">Dátum: </w:t>
      </w:r>
      <w:r w:rsidR="00E647F1">
        <w:rPr>
          <w:rFonts w:ascii="Cambria" w:hAnsi="Cambria"/>
          <w:sz w:val="22"/>
          <w:szCs w:val="22"/>
          <w:lang w:val="sk-SK"/>
        </w:rPr>
        <w:t>09</w:t>
      </w:r>
      <w:r w:rsidR="00F95786">
        <w:rPr>
          <w:rFonts w:ascii="Cambria" w:hAnsi="Cambria"/>
          <w:sz w:val="22"/>
          <w:szCs w:val="22"/>
          <w:lang w:val="sk-SK"/>
        </w:rPr>
        <w:t>.07.</w:t>
      </w:r>
      <w:r>
        <w:rPr>
          <w:rFonts w:ascii="Cambria" w:hAnsi="Cambria"/>
          <w:sz w:val="22"/>
          <w:szCs w:val="22"/>
          <w:lang w:val="sk-SK"/>
        </w:rPr>
        <w:t>202</w:t>
      </w:r>
      <w:r w:rsidR="003F6DDC">
        <w:rPr>
          <w:rFonts w:ascii="Cambria" w:hAnsi="Cambria"/>
          <w:sz w:val="22"/>
          <w:szCs w:val="22"/>
          <w:lang w:val="sk-SK"/>
        </w:rPr>
        <w:t>1</w:t>
      </w:r>
    </w:p>
    <w:p w14:paraId="4A2CEDA0" w14:textId="77777777" w:rsidR="004865D1" w:rsidRPr="00AE16F4" w:rsidRDefault="004865D1" w:rsidP="00EE0D3D">
      <w:pPr>
        <w:tabs>
          <w:tab w:val="left" w:pos="5529"/>
        </w:tabs>
        <w:jc w:val="center"/>
        <w:rPr>
          <w:rFonts w:ascii="Cambria" w:hAnsi="Cambria"/>
          <w:b/>
          <w:sz w:val="22"/>
          <w:szCs w:val="22"/>
          <w:lang w:val="sk-SK"/>
        </w:rPr>
      </w:pPr>
    </w:p>
    <w:p w14:paraId="27E4AB45" w14:textId="77777777" w:rsidR="00052C97" w:rsidRPr="00AE16F4" w:rsidRDefault="00052C97" w:rsidP="00EE0D3D">
      <w:pPr>
        <w:jc w:val="center"/>
        <w:rPr>
          <w:rFonts w:ascii="Cambria" w:hAnsi="Cambria"/>
          <w:b/>
          <w:sz w:val="22"/>
          <w:szCs w:val="22"/>
          <w:lang w:val="sk-SK"/>
        </w:rPr>
      </w:pPr>
    </w:p>
    <w:p w14:paraId="0A8B3BAE" w14:textId="77777777" w:rsidR="001B469A" w:rsidRPr="00AE16F4" w:rsidRDefault="00E6446D" w:rsidP="003F5E9A">
      <w:pPr>
        <w:spacing w:after="120"/>
        <w:ind w:left="357"/>
        <w:jc w:val="center"/>
        <w:rPr>
          <w:rFonts w:ascii="Cambria" w:hAnsi="Cambria"/>
          <w:b/>
          <w:sz w:val="22"/>
          <w:szCs w:val="22"/>
          <w:lang w:val="sk-SK"/>
        </w:rPr>
      </w:pPr>
      <w:r w:rsidRPr="00AE16F4">
        <w:rPr>
          <w:rFonts w:ascii="Cambria" w:hAnsi="Cambria"/>
          <w:b/>
          <w:sz w:val="22"/>
          <w:szCs w:val="22"/>
          <w:lang w:val="sk-SK"/>
        </w:rPr>
        <w:t>VYSVETLENIE</w:t>
      </w:r>
    </w:p>
    <w:p w14:paraId="4F08E38D" w14:textId="73618D73" w:rsidR="001B469A" w:rsidRDefault="00B23E2A" w:rsidP="002D543C">
      <w:pPr>
        <w:autoSpaceDE w:val="0"/>
        <w:autoSpaceDN w:val="0"/>
        <w:adjustRightInd w:val="0"/>
        <w:jc w:val="center"/>
        <w:rPr>
          <w:rFonts w:ascii="Cambria" w:hAnsi="Cambria"/>
          <w:color w:val="000000"/>
          <w:sz w:val="22"/>
          <w:szCs w:val="22"/>
          <w:lang w:val="sk-SK"/>
        </w:rPr>
      </w:pPr>
      <w:r w:rsidRPr="00AE16F4">
        <w:rPr>
          <w:rFonts w:ascii="Cambria" w:hAnsi="Cambria"/>
          <w:color w:val="000000"/>
          <w:sz w:val="22"/>
          <w:szCs w:val="22"/>
          <w:lang w:val="sk-SK"/>
        </w:rPr>
        <w:t>i</w:t>
      </w:r>
      <w:r w:rsidR="00527AC3" w:rsidRPr="00AE16F4">
        <w:rPr>
          <w:rFonts w:ascii="Cambria" w:hAnsi="Cambria"/>
          <w:color w:val="000000"/>
          <w:sz w:val="22"/>
          <w:szCs w:val="22"/>
          <w:lang w:val="sk-SK"/>
        </w:rPr>
        <w:t xml:space="preserve">nformácií uvedených </w:t>
      </w:r>
      <w:r w:rsidR="003F6DDC">
        <w:rPr>
          <w:rFonts w:ascii="Cambria" w:hAnsi="Cambria"/>
          <w:color w:val="000000"/>
          <w:sz w:val="22"/>
          <w:szCs w:val="22"/>
          <w:lang w:val="sk-SK"/>
        </w:rPr>
        <w:t>v oznámení o vyhlásení verejného obstarávania</w:t>
      </w:r>
      <w:r w:rsidR="00527AC3" w:rsidRPr="00AE16F4">
        <w:rPr>
          <w:rFonts w:ascii="Cambria" w:hAnsi="Cambria"/>
          <w:color w:val="000000"/>
          <w:sz w:val="22"/>
          <w:szCs w:val="22"/>
          <w:lang w:val="sk-SK"/>
        </w:rPr>
        <w:t xml:space="preserve">, v súťažných podkladoch alebo v inej sprievodnej dokumentácii </w:t>
      </w:r>
      <w:r w:rsidR="00923673" w:rsidRPr="00AE16F4">
        <w:rPr>
          <w:rFonts w:ascii="Cambria" w:hAnsi="Cambria"/>
          <w:sz w:val="22"/>
          <w:szCs w:val="22"/>
          <w:lang w:val="sk-SK"/>
        </w:rPr>
        <w:t xml:space="preserve">podľa § </w:t>
      </w:r>
      <w:r w:rsidR="001F5339">
        <w:rPr>
          <w:rFonts w:ascii="Cambria" w:hAnsi="Cambria"/>
          <w:sz w:val="22"/>
          <w:szCs w:val="22"/>
          <w:lang w:val="sk-SK"/>
        </w:rPr>
        <w:t>48</w:t>
      </w:r>
      <w:r w:rsidR="000D6E7E" w:rsidRPr="00AE16F4">
        <w:rPr>
          <w:rFonts w:ascii="Cambria" w:hAnsi="Cambria"/>
          <w:sz w:val="22"/>
          <w:szCs w:val="22"/>
          <w:lang w:val="sk-SK"/>
        </w:rPr>
        <w:t xml:space="preserve"> </w:t>
      </w:r>
      <w:r w:rsidR="00E6446D" w:rsidRPr="00AE16F4">
        <w:rPr>
          <w:rFonts w:ascii="Cambria" w:hAnsi="Cambria"/>
          <w:color w:val="000000"/>
          <w:sz w:val="22"/>
          <w:szCs w:val="22"/>
          <w:lang w:val="sk-SK"/>
        </w:rPr>
        <w:t>zákona č. 343/2015 Z. z. o verejnom obstarávaní a o zmene a doplnení niektorých zákonov v znení neskorších predpisov (ďalej len „zákon o verejnom obstarávaní“)</w:t>
      </w:r>
    </w:p>
    <w:p w14:paraId="7F905823" w14:textId="77777777" w:rsidR="002D543C" w:rsidRPr="002D543C" w:rsidRDefault="002D543C" w:rsidP="002D543C">
      <w:pPr>
        <w:autoSpaceDE w:val="0"/>
        <w:autoSpaceDN w:val="0"/>
        <w:adjustRightInd w:val="0"/>
        <w:jc w:val="center"/>
        <w:rPr>
          <w:rFonts w:ascii="Cambria" w:hAnsi="Cambria"/>
          <w:color w:val="000000"/>
          <w:sz w:val="22"/>
          <w:szCs w:val="22"/>
          <w:lang w:val="sk-SK"/>
        </w:rPr>
      </w:pPr>
    </w:p>
    <w:p w14:paraId="230E7463" w14:textId="0F7676ED" w:rsidR="00E6446D" w:rsidRPr="00B060A4" w:rsidRDefault="00E6446D" w:rsidP="00BA37F3">
      <w:pPr>
        <w:jc w:val="both"/>
        <w:rPr>
          <w:rFonts w:ascii="Cambria" w:hAnsi="Cambria"/>
          <w:sz w:val="22"/>
          <w:szCs w:val="22"/>
          <w:lang w:val="sk-SK"/>
        </w:rPr>
      </w:pPr>
      <w:r w:rsidRPr="0075503B">
        <w:rPr>
          <w:rFonts w:ascii="Cambria" w:hAnsi="Cambria"/>
          <w:sz w:val="22"/>
          <w:szCs w:val="22"/>
          <w:lang w:val="sk-SK"/>
        </w:rPr>
        <w:t>Verejný obstarávateľ, Národná banka Slovenska so sídlom Imricha Karvaša 1, 813 25 Bratislava (ďalej len „verejný obstarávateľ</w:t>
      </w:r>
      <w:bookmarkStart w:id="0" w:name="_Hlk75852783"/>
      <w:r w:rsidRPr="0075503B">
        <w:rPr>
          <w:rFonts w:ascii="Cambria" w:hAnsi="Cambria"/>
          <w:sz w:val="22"/>
          <w:szCs w:val="22"/>
          <w:lang w:val="sk-SK"/>
        </w:rPr>
        <w:t>“</w:t>
      </w:r>
      <w:bookmarkEnd w:id="0"/>
      <w:r w:rsidRPr="0075503B">
        <w:rPr>
          <w:rFonts w:ascii="Cambria" w:hAnsi="Cambria"/>
          <w:sz w:val="22"/>
          <w:szCs w:val="22"/>
          <w:lang w:val="sk-SK"/>
        </w:rPr>
        <w:t>)</w:t>
      </w:r>
      <w:r w:rsidR="00F65D06" w:rsidRPr="0075503B">
        <w:rPr>
          <w:rFonts w:ascii="Cambria" w:hAnsi="Cambria"/>
          <w:sz w:val="22"/>
          <w:szCs w:val="22"/>
          <w:lang w:val="sk-SK"/>
        </w:rPr>
        <w:t>,</w:t>
      </w:r>
      <w:r w:rsidRPr="0075503B">
        <w:rPr>
          <w:rFonts w:ascii="Cambria" w:hAnsi="Cambria"/>
          <w:bCs/>
          <w:kern w:val="32"/>
          <w:sz w:val="22"/>
          <w:szCs w:val="22"/>
          <w:lang w:val="sk-SK" w:eastAsia="sk-SK"/>
        </w:rPr>
        <w:t xml:space="preserve"> obdržal dňa </w:t>
      </w:r>
      <w:r w:rsidR="00763560" w:rsidRPr="0075503B">
        <w:rPr>
          <w:rFonts w:ascii="Cambria" w:hAnsi="Cambria"/>
          <w:bCs/>
          <w:kern w:val="32"/>
          <w:sz w:val="22"/>
          <w:szCs w:val="22"/>
          <w:lang w:val="sk-SK" w:eastAsia="sk-SK"/>
        </w:rPr>
        <w:t>0</w:t>
      </w:r>
      <w:r w:rsidR="008143BE">
        <w:rPr>
          <w:rFonts w:ascii="Cambria" w:hAnsi="Cambria"/>
          <w:bCs/>
          <w:kern w:val="32"/>
          <w:sz w:val="22"/>
          <w:szCs w:val="22"/>
          <w:lang w:val="sk-SK" w:eastAsia="sk-SK"/>
        </w:rPr>
        <w:t>2</w:t>
      </w:r>
      <w:r w:rsidR="00763560" w:rsidRPr="0075503B">
        <w:rPr>
          <w:rFonts w:ascii="Cambria" w:hAnsi="Cambria"/>
          <w:bCs/>
          <w:kern w:val="32"/>
          <w:sz w:val="22"/>
          <w:szCs w:val="22"/>
          <w:lang w:val="sk-SK" w:eastAsia="sk-SK"/>
        </w:rPr>
        <w:t xml:space="preserve">.07.2021 </w:t>
      </w:r>
      <w:r w:rsidRPr="0075503B">
        <w:rPr>
          <w:rFonts w:ascii="Cambria" w:hAnsi="Cambria"/>
          <w:sz w:val="22"/>
          <w:szCs w:val="22"/>
          <w:lang w:val="sk-SK"/>
        </w:rPr>
        <w:t xml:space="preserve">prostredníctvom elektronického prostriedku, komunikačného rozhrania systému JOSEPHINE </w:t>
      </w:r>
      <w:r w:rsidRPr="0075503B">
        <w:rPr>
          <w:rFonts w:ascii="Cambria" w:hAnsi="Cambria"/>
          <w:bCs/>
          <w:kern w:val="32"/>
          <w:sz w:val="22"/>
          <w:szCs w:val="22"/>
          <w:lang w:val="sk-SK" w:eastAsia="sk-SK"/>
        </w:rPr>
        <w:t>žiadosť o</w:t>
      </w:r>
      <w:r w:rsidR="00527AC3" w:rsidRPr="0075503B">
        <w:rPr>
          <w:rFonts w:ascii="Cambria" w:hAnsi="Cambria"/>
          <w:bCs/>
          <w:kern w:val="32"/>
          <w:sz w:val="22"/>
          <w:szCs w:val="22"/>
          <w:lang w:val="sk-SK" w:eastAsia="sk-SK"/>
        </w:rPr>
        <w:t> </w:t>
      </w:r>
      <w:r w:rsidRPr="0075503B">
        <w:rPr>
          <w:rFonts w:ascii="Cambria" w:hAnsi="Cambria"/>
          <w:bCs/>
          <w:kern w:val="32"/>
          <w:sz w:val="22"/>
          <w:szCs w:val="22"/>
          <w:lang w:val="sk-SK" w:eastAsia="sk-SK"/>
        </w:rPr>
        <w:t>vysvetlenie</w:t>
      </w:r>
      <w:r w:rsidR="00527AC3" w:rsidRPr="0075503B">
        <w:rPr>
          <w:rFonts w:ascii="Cambria" w:hAnsi="Cambria"/>
          <w:bCs/>
          <w:kern w:val="32"/>
          <w:sz w:val="22"/>
          <w:szCs w:val="22"/>
          <w:lang w:val="sk-SK" w:eastAsia="sk-SK"/>
        </w:rPr>
        <w:t xml:space="preserve"> i</w:t>
      </w:r>
      <w:r w:rsidR="00527AC3" w:rsidRPr="0075503B">
        <w:rPr>
          <w:rFonts w:ascii="Cambria" w:hAnsi="Cambria"/>
          <w:sz w:val="22"/>
          <w:szCs w:val="22"/>
          <w:lang w:val="sk-SK"/>
        </w:rPr>
        <w:t>nformácií uvedených v súťažných podkladoch</w:t>
      </w:r>
      <w:r w:rsidR="0025232E" w:rsidRPr="0075503B">
        <w:rPr>
          <w:rFonts w:ascii="Cambria" w:hAnsi="Cambria"/>
          <w:bCs/>
          <w:kern w:val="32"/>
          <w:sz w:val="22"/>
          <w:szCs w:val="22"/>
          <w:lang w:val="sk-SK" w:eastAsia="sk-SK"/>
        </w:rPr>
        <w:t>,</w:t>
      </w:r>
      <w:r w:rsidRPr="0075503B">
        <w:rPr>
          <w:rFonts w:ascii="Cambria" w:hAnsi="Cambria"/>
          <w:bCs/>
          <w:kern w:val="32"/>
          <w:sz w:val="22"/>
          <w:szCs w:val="22"/>
          <w:lang w:val="sk-SK" w:eastAsia="sk-SK"/>
        </w:rPr>
        <w:t xml:space="preserve"> </w:t>
      </w:r>
      <w:r w:rsidRPr="0075503B">
        <w:rPr>
          <w:rFonts w:ascii="Cambria" w:hAnsi="Cambria"/>
          <w:sz w:val="22"/>
          <w:szCs w:val="22"/>
          <w:lang w:val="sk-SK"/>
        </w:rPr>
        <w:t>v </w:t>
      </w:r>
      <w:r w:rsidR="00C44A15" w:rsidRPr="0075503B">
        <w:rPr>
          <w:rFonts w:ascii="Cambria" w:hAnsi="Cambria"/>
          <w:sz w:val="22"/>
          <w:szCs w:val="22"/>
          <w:lang w:val="sk-SK"/>
        </w:rPr>
        <w:t xml:space="preserve"> nadlimitnej zákazke s názvom „</w:t>
      </w:r>
      <w:r w:rsidR="003F6DDC" w:rsidRPr="00B060A4">
        <w:rPr>
          <w:rFonts w:ascii="Cambria" w:hAnsi="Cambria"/>
          <w:b/>
          <w:bCs/>
          <w:sz w:val="22"/>
          <w:szCs w:val="22"/>
          <w:lang w:val="sk-SK"/>
        </w:rPr>
        <w:t>Dátová stratégia Národnej banky Slovenska</w:t>
      </w:r>
      <w:r w:rsidR="00BA37F3" w:rsidRPr="0075503B">
        <w:rPr>
          <w:rFonts w:ascii="Cambria" w:hAnsi="Cambria"/>
          <w:sz w:val="22"/>
          <w:szCs w:val="22"/>
          <w:lang w:val="sk-SK"/>
        </w:rPr>
        <w:t>“</w:t>
      </w:r>
      <w:r w:rsidR="003F6DDC" w:rsidRPr="00B060A4">
        <w:rPr>
          <w:rFonts w:ascii="Cambria" w:hAnsi="Cambria"/>
          <w:b/>
          <w:bCs/>
          <w:sz w:val="22"/>
          <w:szCs w:val="22"/>
          <w:lang w:val="sk-SK"/>
        </w:rPr>
        <w:t xml:space="preserve"> </w:t>
      </w:r>
      <w:r w:rsidR="003F6DDC" w:rsidRPr="00B060A4">
        <w:rPr>
          <w:rFonts w:ascii="Cambria" w:hAnsi="Cambria"/>
          <w:sz w:val="22"/>
          <w:szCs w:val="22"/>
          <w:lang w:val="sk-SK"/>
        </w:rPr>
        <w:t xml:space="preserve"> uverejnenej v Ú. v. EÚ/S 117 dňa 18.06.2021 pod číslom 2021/S 117-306348 a vo Vestníku verejného obstarávania 144/2021 dňa 21.06.2021</w:t>
      </w:r>
      <w:r w:rsidR="00BA37F3" w:rsidRPr="00B060A4">
        <w:rPr>
          <w:rFonts w:ascii="Cambria" w:hAnsi="Cambria"/>
          <w:sz w:val="22"/>
          <w:szCs w:val="22"/>
          <w:lang w:val="sk-SK"/>
        </w:rPr>
        <w:t xml:space="preserve"> </w:t>
      </w:r>
      <w:r w:rsidR="003F6DDC" w:rsidRPr="00B060A4">
        <w:rPr>
          <w:rFonts w:ascii="Cambria" w:hAnsi="Cambria"/>
          <w:sz w:val="22"/>
          <w:szCs w:val="22"/>
          <w:lang w:val="sk-SK"/>
        </w:rPr>
        <w:t xml:space="preserve">pod číslom 29953 </w:t>
      </w:r>
      <w:r w:rsidR="00BA37F3" w:rsidRPr="00B060A4">
        <w:rPr>
          <w:rFonts w:ascii="Cambria" w:hAnsi="Cambria"/>
          <w:sz w:val="22"/>
          <w:szCs w:val="22"/>
          <w:lang w:val="sk-SK"/>
        </w:rPr>
        <w:t>–</w:t>
      </w:r>
      <w:r w:rsidR="003F6DDC" w:rsidRPr="00B060A4">
        <w:rPr>
          <w:rFonts w:ascii="Cambria" w:hAnsi="Cambria"/>
          <w:sz w:val="22"/>
          <w:szCs w:val="22"/>
          <w:lang w:val="sk-SK"/>
        </w:rPr>
        <w:t xml:space="preserve"> MSS</w:t>
      </w:r>
      <w:r w:rsidR="00BA37F3" w:rsidRPr="00B060A4">
        <w:rPr>
          <w:rFonts w:ascii="Cambria" w:hAnsi="Cambria"/>
          <w:sz w:val="22"/>
          <w:szCs w:val="22"/>
          <w:lang w:val="sk-SK"/>
        </w:rPr>
        <w:t xml:space="preserve"> </w:t>
      </w:r>
      <w:r w:rsidRPr="0075503B">
        <w:rPr>
          <w:rFonts w:ascii="Cambria" w:hAnsi="Cambria"/>
          <w:sz w:val="22"/>
          <w:szCs w:val="22"/>
          <w:lang w:val="sk-SK"/>
        </w:rPr>
        <w:t>(ďalej len „žiados</w:t>
      </w:r>
      <w:r w:rsidR="005F4847" w:rsidRPr="0075503B">
        <w:rPr>
          <w:rFonts w:ascii="Cambria" w:hAnsi="Cambria"/>
          <w:sz w:val="22"/>
          <w:szCs w:val="22"/>
          <w:lang w:val="sk-SK"/>
        </w:rPr>
        <w:t>ť</w:t>
      </w:r>
      <w:r w:rsidRPr="0075503B">
        <w:rPr>
          <w:rFonts w:ascii="Cambria" w:hAnsi="Cambria"/>
          <w:sz w:val="22"/>
          <w:szCs w:val="22"/>
          <w:lang w:val="sk-SK"/>
        </w:rPr>
        <w:t xml:space="preserve"> o vysvetlenie“)</w:t>
      </w:r>
      <w:r w:rsidRPr="0075503B">
        <w:rPr>
          <w:rFonts w:ascii="Cambria" w:hAnsi="Cambria"/>
          <w:bCs/>
          <w:sz w:val="22"/>
          <w:szCs w:val="22"/>
          <w:lang w:val="sk-SK"/>
        </w:rPr>
        <w:t xml:space="preserve">. </w:t>
      </w:r>
    </w:p>
    <w:p w14:paraId="7C93BD79" w14:textId="77777777" w:rsidR="0014055F" w:rsidRPr="0075503B" w:rsidRDefault="0014055F" w:rsidP="003F5E9A">
      <w:pPr>
        <w:jc w:val="both"/>
        <w:rPr>
          <w:rFonts w:ascii="Cambria" w:hAnsi="Cambria"/>
          <w:sz w:val="22"/>
          <w:szCs w:val="22"/>
          <w:u w:val="single"/>
          <w:lang w:val="sk-SK"/>
        </w:rPr>
      </w:pPr>
    </w:p>
    <w:p w14:paraId="4AD8BE0C" w14:textId="1399331C" w:rsidR="00E6446D" w:rsidRPr="00AE16F4" w:rsidRDefault="00E6446D" w:rsidP="003F5E9A">
      <w:pPr>
        <w:jc w:val="both"/>
        <w:rPr>
          <w:rFonts w:ascii="Cambria" w:hAnsi="Cambria"/>
          <w:sz w:val="22"/>
          <w:szCs w:val="22"/>
          <w:u w:val="single"/>
          <w:lang w:val="sk-SK"/>
        </w:rPr>
      </w:pPr>
      <w:r w:rsidRPr="00AE16F4">
        <w:rPr>
          <w:rFonts w:ascii="Cambria" w:hAnsi="Cambria"/>
          <w:sz w:val="22"/>
          <w:szCs w:val="22"/>
          <w:u w:val="single"/>
          <w:lang w:val="sk-SK"/>
        </w:rPr>
        <w:t>Po podro</w:t>
      </w:r>
      <w:r w:rsidR="0025232E" w:rsidRPr="00AE16F4">
        <w:rPr>
          <w:rFonts w:ascii="Cambria" w:hAnsi="Cambria"/>
          <w:sz w:val="22"/>
          <w:szCs w:val="22"/>
          <w:u w:val="single"/>
          <w:lang w:val="sk-SK"/>
        </w:rPr>
        <w:t>bnom oboznámení sa so žiadosťou</w:t>
      </w:r>
      <w:r w:rsidRPr="00AE16F4">
        <w:rPr>
          <w:rFonts w:ascii="Cambria" w:hAnsi="Cambria"/>
          <w:sz w:val="22"/>
          <w:szCs w:val="22"/>
          <w:u w:val="single"/>
          <w:lang w:val="sk-SK"/>
        </w:rPr>
        <w:t xml:space="preserve"> o vysvetlenie </w:t>
      </w:r>
      <w:r w:rsidR="00B23E2A" w:rsidRPr="00AE16F4">
        <w:rPr>
          <w:rFonts w:ascii="Cambria" w:hAnsi="Cambria"/>
          <w:sz w:val="22"/>
          <w:szCs w:val="22"/>
          <w:u w:val="single"/>
          <w:lang w:val="sk-SK"/>
        </w:rPr>
        <w:t xml:space="preserve">Vám </w:t>
      </w:r>
      <w:r w:rsidRPr="00AE16F4">
        <w:rPr>
          <w:rFonts w:ascii="Cambria" w:hAnsi="Cambria"/>
          <w:sz w:val="22"/>
          <w:szCs w:val="22"/>
          <w:u w:val="single"/>
          <w:lang w:val="sk-SK"/>
        </w:rPr>
        <w:t xml:space="preserve">verejný obstarávateľ v súlade s ustanovením </w:t>
      </w:r>
      <w:r w:rsidR="00C44A15">
        <w:rPr>
          <w:rFonts w:ascii="Cambria" w:hAnsi="Cambria"/>
          <w:sz w:val="22"/>
          <w:szCs w:val="22"/>
          <w:u w:val="single"/>
          <w:lang w:val="sk-SK"/>
        </w:rPr>
        <w:t>§ 48</w:t>
      </w:r>
      <w:r w:rsidR="00A87068" w:rsidRPr="00AE16F4">
        <w:rPr>
          <w:rFonts w:ascii="Cambria" w:hAnsi="Cambria"/>
          <w:sz w:val="22"/>
          <w:szCs w:val="22"/>
          <w:u w:val="single"/>
          <w:lang w:val="sk-SK"/>
        </w:rPr>
        <w:t xml:space="preserve"> </w:t>
      </w:r>
      <w:r w:rsidRPr="00AE16F4">
        <w:rPr>
          <w:rFonts w:ascii="Cambria" w:hAnsi="Cambria"/>
          <w:sz w:val="22"/>
          <w:szCs w:val="22"/>
          <w:u w:val="single"/>
          <w:lang w:val="sk-SK"/>
        </w:rPr>
        <w:t xml:space="preserve">zákona </w:t>
      </w:r>
      <w:r w:rsidR="0025232E" w:rsidRPr="00AE16F4">
        <w:rPr>
          <w:rFonts w:ascii="Cambria" w:hAnsi="Cambria"/>
          <w:sz w:val="22"/>
          <w:szCs w:val="22"/>
          <w:u w:val="single"/>
          <w:lang w:val="sk-SK"/>
        </w:rPr>
        <w:t>o verej</w:t>
      </w:r>
      <w:r w:rsidRPr="00AE16F4">
        <w:rPr>
          <w:rFonts w:ascii="Cambria" w:hAnsi="Cambria"/>
          <w:sz w:val="22"/>
          <w:szCs w:val="22"/>
          <w:u w:val="single"/>
          <w:lang w:val="sk-SK"/>
        </w:rPr>
        <w:t xml:space="preserve">nom obstarávaní poskytuje </w:t>
      </w:r>
      <w:r w:rsidR="0025232E" w:rsidRPr="00AE16F4">
        <w:rPr>
          <w:rFonts w:ascii="Cambria" w:hAnsi="Cambria"/>
          <w:sz w:val="22"/>
          <w:szCs w:val="22"/>
          <w:u w:val="single"/>
          <w:lang w:val="sk-SK"/>
        </w:rPr>
        <w:t xml:space="preserve">nasledujúce </w:t>
      </w:r>
      <w:r w:rsidRPr="00AE16F4">
        <w:rPr>
          <w:rFonts w:ascii="Cambria" w:hAnsi="Cambria"/>
          <w:sz w:val="22"/>
          <w:szCs w:val="22"/>
          <w:u w:val="single"/>
          <w:lang w:val="sk-SK"/>
        </w:rPr>
        <w:t>vysvetlenie:</w:t>
      </w:r>
    </w:p>
    <w:p w14:paraId="222521B7" w14:textId="77777777" w:rsidR="006E6AB0" w:rsidRDefault="006E6AB0" w:rsidP="006E6AB0">
      <w:pPr>
        <w:spacing w:after="60"/>
        <w:jc w:val="both"/>
        <w:rPr>
          <w:rFonts w:ascii="Cambria" w:hAnsi="Cambria"/>
          <w:b/>
          <w:sz w:val="22"/>
          <w:szCs w:val="22"/>
          <w:u w:val="single"/>
          <w:lang w:val="sk-SK"/>
        </w:rPr>
      </w:pPr>
    </w:p>
    <w:p w14:paraId="625DC879" w14:textId="364DE4A3" w:rsidR="005845D2" w:rsidRPr="00AE16F4" w:rsidRDefault="005845D2" w:rsidP="008143BE">
      <w:pPr>
        <w:spacing w:after="60"/>
        <w:jc w:val="both"/>
        <w:rPr>
          <w:rFonts w:ascii="Cambria" w:hAnsi="Cambria"/>
          <w:b/>
          <w:sz w:val="22"/>
          <w:szCs w:val="22"/>
          <w:u w:val="single"/>
          <w:lang w:val="sk-SK"/>
        </w:rPr>
      </w:pPr>
      <w:bookmarkStart w:id="1" w:name="_Hlk76561458"/>
      <w:r w:rsidRPr="00AE16F4">
        <w:rPr>
          <w:rFonts w:ascii="Cambria" w:hAnsi="Cambria"/>
          <w:b/>
          <w:sz w:val="22"/>
          <w:szCs w:val="22"/>
          <w:u w:val="single"/>
          <w:lang w:val="sk-SK"/>
        </w:rPr>
        <w:t xml:space="preserve">Otázka č. </w:t>
      </w:r>
      <w:r w:rsidR="008143BE">
        <w:rPr>
          <w:rFonts w:ascii="Cambria" w:hAnsi="Cambria"/>
          <w:b/>
          <w:sz w:val="22"/>
          <w:szCs w:val="22"/>
          <w:u w:val="single"/>
          <w:lang w:val="sk-SK"/>
        </w:rPr>
        <w:t>3</w:t>
      </w:r>
      <w:r w:rsidRPr="00AE16F4">
        <w:rPr>
          <w:rFonts w:ascii="Cambria" w:hAnsi="Cambria"/>
          <w:b/>
          <w:sz w:val="22"/>
          <w:szCs w:val="22"/>
          <w:u w:val="single"/>
          <w:lang w:val="sk-SK"/>
        </w:rPr>
        <w:t>:</w:t>
      </w:r>
    </w:p>
    <w:bookmarkEnd w:id="1"/>
    <w:p w14:paraId="5F0ABC2E" w14:textId="1E2A2F4C" w:rsidR="008143BE" w:rsidRDefault="008143BE" w:rsidP="008143BE">
      <w:pPr>
        <w:jc w:val="both"/>
        <w:rPr>
          <w:rFonts w:ascii="Cambria" w:hAnsi="Cambria"/>
          <w:bCs/>
          <w:sz w:val="22"/>
          <w:szCs w:val="22"/>
          <w:lang w:val="sk-SK"/>
        </w:rPr>
      </w:pPr>
      <w:r w:rsidRPr="008143BE">
        <w:rPr>
          <w:rFonts w:ascii="Cambria" w:hAnsi="Cambria"/>
          <w:bCs/>
          <w:sz w:val="22"/>
          <w:szCs w:val="22"/>
          <w:lang w:val="sk-SK"/>
        </w:rPr>
        <w:t>V zmysle bodu 22.2 je termín predloženia ponúk 30.07.2021, a zároveň podľa „Príloha č. 1 k</w:t>
      </w:r>
      <w:r>
        <w:rPr>
          <w:rFonts w:ascii="Cambria" w:hAnsi="Cambria"/>
          <w:bCs/>
          <w:sz w:val="22"/>
          <w:szCs w:val="22"/>
          <w:lang w:val="sk-SK"/>
        </w:rPr>
        <w:t xml:space="preserve"> </w:t>
      </w:r>
      <w:r w:rsidRPr="008143BE">
        <w:rPr>
          <w:rFonts w:ascii="Cambria" w:hAnsi="Cambria"/>
          <w:bCs/>
          <w:sz w:val="22"/>
          <w:szCs w:val="22"/>
          <w:lang w:val="sk-SK"/>
        </w:rPr>
        <w:t>časti A.3 KRITÉRIÁ NA VYHODNOTENIE PONÚK A PRAVIDLÁ ICH UPLATNENIA“ je</w:t>
      </w:r>
      <w:r>
        <w:rPr>
          <w:rFonts w:ascii="Cambria" w:hAnsi="Cambria"/>
          <w:bCs/>
          <w:sz w:val="22"/>
          <w:szCs w:val="22"/>
          <w:lang w:val="sk-SK"/>
        </w:rPr>
        <w:t xml:space="preserve"> </w:t>
      </w:r>
      <w:r w:rsidRPr="008143BE">
        <w:rPr>
          <w:rFonts w:ascii="Cambria" w:hAnsi="Cambria"/>
          <w:bCs/>
          <w:sz w:val="22"/>
          <w:szCs w:val="22"/>
          <w:lang w:val="sk-SK"/>
        </w:rPr>
        <w:t>predpokladaný štart projektu August 2021 a ukončenie v Novembri 2021 pri trvaní projektu</w:t>
      </w:r>
      <w:r>
        <w:rPr>
          <w:rFonts w:ascii="Cambria" w:hAnsi="Cambria"/>
          <w:bCs/>
          <w:sz w:val="22"/>
          <w:szCs w:val="22"/>
          <w:lang w:val="sk-SK"/>
        </w:rPr>
        <w:t xml:space="preserve"> </w:t>
      </w:r>
      <w:r w:rsidRPr="008143BE">
        <w:rPr>
          <w:rFonts w:ascii="Cambria" w:hAnsi="Cambria"/>
          <w:bCs/>
          <w:sz w:val="22"/>
          <w:szCs w:val="22"/>
          <w:lang w:val="sk-SK"/>
        </w:rPr>
        <w:t>83 pracovných dní. Vid upozornenie v uvedenej prílohe: „Predpokladaná lehota plnenia od</w:t>
      </w:r>
      <w:r>
        <w:rPr>
          <w:rFonts w:ascii="Cambria" w:hAnsi="Cambria"/>
          <w:bCs/>
          <w:sz w:val="22"/>
          <w:szCs w:val="22"/>
          <w:lang w:val="sk-SK"/>
        </w:rPr>
        <w:t xml:space="preserve"> </w:t>
      </w:r>
      <w:r w:rsidRPr="008143BE">
        <w:rPr>
          <w:rFonts w:ascii="Cambria" w:hAnsi="Cambria"/>
          <w:bCs/>
          <w:sz w:val="22"/>
          <w:szCs w:val="22"/>
          <w:lang w:val="sk-SK"/>
        </w:rPr>
        <w:t>začiatku augusta 2021 do konca novembra 2021 predstavuje 83 pracovných dní“. Je reálny</w:t>
      </w:r>
      <w:r>
        <w:rPr>
          <w:rFonts w:ascii="Cambria" w:hAnsi="Cambria"/>
          <w:bCs/>
          <w:sz w:val="22"/>
          <w:szCs w:val="22"/>
          <w:lang w:val="sk-SK"/>
        </w:rPr>
        <w:t xml:space="preserve"> </w:t>
      </w:r>
      <w:r w:rsidRPr="008143BE">
        <w:rPr>
          <w:rFonts w:ascii="Cambria" w:hAnsi="Cambria"/>
          <w:bCs/>
          <w:sz w:val="22"/>
          <w:szCs w:val="22"/>
          <w:lang w:val="sk-SK"/>
        </w:rPr>
        <w:t>požadovaný termín štartu projektu v Auguste 2021 s ohľadom na proces verejného</w:t>
      </w:r>
      <w:r>
        <w:rPr>
          <w:rFonts w:ascii="Cambria" w:hAnsi="Cambria"/>
          <w:bCs/>
          <w:sz w:val="22"/>
          <w:szCs w:val="22"/>
          <w:lang w:val="sk-SK"/>
        </w:rPr>
        <w:t xml:space="preserve"> </w:t>
      </w:r>
      <w:r w:rsidRPr="008143BE">
        <w:rPr>
          <w:rFonts w:ascii="Cambria" w:hAnsi="Cambria"/>
          <w:bCs/>
          <w:sz w:val="22"/>
          <w:szCs w:val="22"/>
          <w:lang w:val="sk-SK"/>
        </w:rPr>
        <w:t>obstarávania?</w:t>
      </w:r>
    </w:p>
    <w:p w14:paraId="58BEB4D3" w14:textId="77777777" w:rsidR="008143BE" w:rsidRDefault="008143BE" w:rsidP="008143BE">
      <w:pPr>
        <w:jc w:val="both"/>
        <w:rPr>
          <w:rFonts w:ascii="Cambria" w:hAnsi="Cambria"/>
          <w:bCs/>
          <w:sz w:val="22"/>
          <w:szCs w:val="22"/>
          <w:lang w:val="sk-SK"/>
        </w:rPr>
      </w:pPr>
    </w:p>
    <w:p w14:paraId="76D27666" w14:textId="518E3CC8" w:rsidR="005845D2" w:rsidRDefault="005845D2" w:rsidP="008143BE">
      <w:pPr>
        <w:jc w:val="both"/>
        <w:rPr>
          <w:rFonts w:ascii="Cambria" w:hAnsi="Cambria"/>
          <w:b/>
          <w:sz w:val="22"/>
          <w:szCs w:val="22"/>
          <w:u w:val="single"/>
          <w:lang w:val="sk-SK"/>
        </w:rPr>
      </w:pPr>
      <w:r w:rsidRPr="00763560">
        <w:rPr>
          <w:rFonts w:ascii="Cambria" w:hAnsi="Cambria"/>
          <w:b/>
          <w:sz w:val="22"/>
          <w:szCs w:val="22"/>
          <w:u w:val="single"/>
          <w:lang w:val="sk-SK"/>
        </w:rPr>
        <w:t xml:space="preserve">Odpoveď: </w:t>
      </w:r>
    </w:p>
    <w:p w14:paraId="247CD1A6" w14:textId="67274CC0" w:rsidR="002838B5" w:rsidRDefault="000558D5" w:rsidP="002838B5">
      <w:pPr>
        <w:spacing w:after="60"/>
        <w:jc w:val="both"/>
        <w:rPr>
          <w:rFonts w:ascii="Cambria" w:hAnsi="Cambria"/>
          <w:bCs/>
          <w:sz w:val="22"/>
          <w:szCs w:val="22"/>
          <w:lang w:val="sk-SK"/>
        </w:rPr>
      </w:pPr>
      <w:r w:rsidRPr="002838B5">
        <w:rPr>
          <w:rFonts w:ascii="Cambria" w:hAnsi="Cambria"/>
          <w:bCs/>
          <w:sz w:val="22"/>
          <w:szCs w:val="22"/>
          <w:lang w:val="sk-SK"/>
        </w:rPr>
        <w:t>Upozornenie</w:t>
      </w:r>
      <w:r w:rsidR="002838B5">
        <w:rPr>
          <w:rFonts w:ascii="Cambria" w:hAnsi="Cambria"/>
          <w:bCs/>
          <w:sz w:val="22"/>
          <w:szCs w:val="22"/>
          <w:lang w:val="sk-SK"/>
        </w:rPr>
        <w:t xml:space="preserve"> v </w:t>
      </w:r>
      <w:r w:rsidR="002838B5" w:rsidRPr="002838B5">
        <w:rPr>
          <w:rFonts w:ascii="Cambria" w:hAnsi="Cambria"/>
          <w:bCs/>
          <w:sz w:val="22"/>
          <w:szCs w:val="22"/>
          <w:lang w:val="sk-SK"/>
        </w:rPr>
        <w:t>Príloh</w:t>
      </w:r>
      <w:r w:rsidR="002838B5">
        <w:rPr>
          <w:rFonts w:ascii="Cambria" w:hAnsi="Cambria"/>
          <w:bCs/>
          <w:sz w:val="22"/>
          <w:szCs w:val="22"/>
          <w:lang w:val="sk-SK"/>
        </w:rPr>
        <w:t>e</w:t>
      </w:r>
      <w:r w:rsidR="002838B5" w:rsidRPr="002838B5">
        <w:rPr>
          <w:rFonts w:ascii="Cambria" w:hAnsi="Cambria"/>
          <w:bCs/>
          <w:sz w:val="22"/>
          <w:szCs w:val="22"/>
          <w:lang w:val="sk-SK"/>
        </w:rPr>
        <w:t xml:space="preserve"> č. 1 k časti A.3 KRITÉRIÁ NA VYHODNOTENIE PONÚK A PRAVIDLÁ ICH UPLATNENIA</w:t>
      </w:r>
      <w:r w:rsidR="002838B5">
        <w:rPr>
          <w:rFonts w:ascii="Cambria" w:hAnsi="Cambria"/>
          <w:bCs/>
          <w:sz w:val="22"/>
          <w:szCs w:val="22"/>
          <w:lang w:val="sk-SK"/>
        </w:rPr>
        <w:t xml:space="preserve"> „</w:t>
      </w:r>
      <w:r w:rsidR="002838B5" w:rsidRPr="002838B5">
        <w:rPr>
          <w:rFonts w:ascii="Cambria" w:hAnsi="Cambria"/>
          <w:bCs/>
          <w:sz w:val="22"/>
          <w:szCs w:val="22"/>
          <w:lang w:val="sk-SK"/>
        </w:rPr>
        <w:t>Návrh na plnenie kritérií na vyhodnotenie ponúk</w:t>
      </w:r>
      <w:r w:rsidR="002838B5">
        <w:rPr>
          <w:rFonts w:ascii="Cambria" w:hAnsi="Cambria"/>
          <w:bCs/>
          <w:sz w:val="22"/>
          <w:szCs w:val="22"/>
          <w:lang w:val="sk-SK"/>
        </w:rPr>
        <w:t xml:space="preserve">“ malo za cieľ stanoviť maximálny počet </w:t>
      </w:r>
      <w:r w:rsidR="002838B5" w:rsidRPr="002838B5">
        <w:rPr>
          <w:rFonts w:ascii="Cambria" w:hAnsi="Cambria"/>
          <w:bCs/>
          <w:sz w:val="22"/>
          <w:szCs w:val="22"/>
          <w:lang w:val="sk-SK"/>
        </w:rPr>
        <w:t>osobodní pre každého kľúčového experta</w:t>
      </w:r>
      <w:r w:rsidR="002838B5">
        <w:rPr>
          <w:rFonts w:ascii="Cambria" w:hAnsi="Cambria"/>
          <w:bCs/>
          <w:sz w:val="22"/>
          <w:szCs w:val="22"/>
          <w:lang w:val="sk-SK"/>
        </w:rPr>
        <w:t xml:space="preserve"> počas lehoty </w:t>
      </w:r>
      <w:r w:rsidR="002838B5" w:rsidRPr="002838B5">
        <w:rPr>
          <w:rFonts w:ascii="Cambria" w:hAnsi="Cambria"/>
          <w:bCs/>
          <w:sz w:val="22"/>
          <w:szCs w:val="22"/>
          <w:lang w:val="sk-SK"/>
        </w:rPr>
        <w:t>plnenie časti predmetu zákazky „projekt“, ktorá je 4 mesiace</w:t>
      </w:r>
      <w:r w:rsidR="002838B5">
        <w:rPr>
          <w:rFonts w:ascii="Cambria" w:hAnsi="Cambria"/>
          <w:bCs/>
          <w:sz w:val="22"/>
          <w:szCs w:val="22"/>
          <w:lang w:val="sk-SK"/>
        </w:rPr>
        <w:t xml:space="preserve">. Pri stanovený exaktnej hodnoty maximálneho počtu </w:t>
      </w:r>
      <w:r w:rsidR="002838B5" w:rsidRPr="002838B5">
        <w:rPr>
          <w:rFonts w:ascii="Cambria" w:hAnsi="Cambria"/>
          <w:bCs/>
          <w:sz w:val="22"/>
          <w:szCs w:val="22"/>
          <w:lang w:val="sk-SK"/>
        </w:rPr>
        <w:t>osobodní pre každého kľúčového experta</w:t>
      </w:r>
      <w:r w:rsidR="002838B5">
        <w:rPr>
          <w:rFonts w:ascii="Cambria" w:hAnsi="Cambria"/>
          <w:bCs/>
          <w:sz w:val="22"/>
          <w:szCs w:val="22"/>
          <w:lang w:val="sk-SK"/>
        </w:rPr>
        <w:t xml:space="preserve"> sa ako príklad vychádzalo z</w:t>
      </w:r>
      <w:r w:rsidR="009F6293">
        <w:rPr>
          <w:rFonts w:ascii="Cambria" w:hAnsi="Cambria"/>
          <w:bCs/>
          <w:sz w:val="22"/>
          <w:szCs w:val="22"/>
          <w:lang w:val="sk-SK"/>
        </w:rPr>
        <w:t xml:space="preserve"> predpokladanej </w:t>
      </w:r>
      <w:r w:rsidR="002838B5" w:rsidRPr="002838B5">
        <w:rPr>
          <w:rFonts w:ascii="Cambria" w:hAnsi="Cambria"/>
          <w:bCs/>
          <w:sz w:val="22"/>
          <w:szCs w:val="22"/>
          <w:lang w:val="sk-SK"/>
        </w:rPr>
        <w:t>lehot</w:t>
      </w:r>
      <w:r w:rsidR="002838B5">
        <w:rPr>
          <w:rFonts w:ascii="Cambria" w:hAnsi="Cambria"/>
          <w:bCs/>
          <w:sz w:val="22"/>
          <w:szCs w:val="22"/>
          <w:lang w:val="sk-SK"/>
        </w:rPr>
        <w:t>y</w:t>
      </w:r>
      <w:r w:rsidR="002838B5" w:rsidRPr="002838B5">
        <w:rPr>
          <w:rFonts w:ascii="Cambria" w:hAnsi="Cambria"/>
          <w:bCs/>
          <w:sz w:val="22"/>
          <w:szCs w:val="22"/>
          <w:lang w:val="sk-SK"/>
        </w:rPr>
        <w:t xml:space="preserve"> plnenia od začiatku augusta 2021 do konca novembra 2021</w:t>
      </w:r>
      <w:r w:rsidR="00CC4C93">
        <w:rPr>
          <w:rFonts w:ascii="Cambria" w:hAnsi="Cambria"/>
          <w:bCs/>
          <w:sz w:val="22"/>
          <w:szCs w:val="22"/>
          <w:lang w:val="sk-SK"/>
        </w:rPr>
        <w:t>, čo</w:t>
      </w:r>
      <w:r w:rsidR="002838B5" w:rsidRPr="002838B5">
        <w:rPr>
          <w:rFonts w:ascii="Cambria" w:hAnsi="Cambria"/>
          <w:bCs/>
          <w:sz w:val="22"/>
          <w:szCs w:val="22"/>
          <w:lang w:val="sk-SK"/>
        </w:rPr>
        <w:t xml:space="preserve"> predstavuje 83 pracovných dní</w:t>
      </w:r>
      <w:r w:rsidR="00CC4C93">
        <w:rPr>
          <w:rFonts w:ascii="Cambria" w:hAnsi="Cambria"/>
          <w:bCs/>
          <w:sz w:val="22"/>
          <w:szCs w:val="22"/>
          <w:lang w:val="sk-SK"/>
        </w:rPr>
        <w:t>. Nakoľko 83 pracovných dní zhruba odpovedá ľubovoľným štyrom za sebou nasledujúcim mesiacom od augusta do decembra kalendárneho roka zohľadňujúc deň nadobudnutia účinnosti zmluvy, verejný obstarávateľ ponechal danú maximálnu hodnotu</w:t>
      </w:r>
      <w:r w:rsidR="00CC4C93" w:rsidRPr="00CC4C93">
        <w:t xml:space="preserve"> </w:t>
      </w:r>
      <w:r w:rsidR="00CC4C93" w:rsidRPr="00CC4C93">
        <w:rPr>
          <w:rFonts w:ascii="Cambria" w:hAnsi="Cambria"/>
          <w:bCs/>
          <w:sz w:val="22"/>
          <w:szCs w:val="22"/>
          <w:lang w:val="sk-SK"/>
        </w:rPr>
        <w:t>osobodní pre každého kľúčového experta</w:t>
      </w:r>
      <w:r w:rsidR="00CC4C93">
        <w:rPr>
          <w:rFonts w:ascii="Cambria" w:hAnsi="Cambria"/>
          <w:bCs/>
          <w:sz w:val="22"/>
          <w:szCs w:val="22"/>
          <w:lang w:val="sk-SK"/>
        </w:rPr>
        <w:t xml:space="preserve"> získanú z</w:t>
      </w:r>
      <w:r w:rsidR="009F6293">
        <w:rPr>
          <w:rFonts w:ascii="Cambria" w:hAnsi="Cambria"/>
          <w:bCs/>
          <w:sz w:val="22"/>
          <w:szCs w:val="22"/>
          <w:lang w:val="sk-SK"/>
        </w:rPr>
        <w:t> </w:t>
      </w:r>
      <w:r w:rsidR="00B83132">
        <w:rPr>
          <w:rFonts w:ascii="Cambria" w:hAnsi="Cambria"/>
          <w:bCs/>
          <w:sz w:val="22"/>
          <w:szCs w:val="22"/>
          <w:lang w:val="sk-SK"/>
        </w:rPr>
        <w:t>použitej</w:t>
      </w:r>
      <w:r w:rsidR="009F6293">
        <w:rPr>
          <w:rFonts w:ascii="Cambria" w:hAnsi="Cambria"/>
          <w:bCs/>
          <w:sz w:val="22"/>
          <w:szCs w:val="22"/>
          <w:lang w:val="sk-SK"/>
        </w:rPr>
        <w:t xml:space="preserve"> </w:t>
      </w:r>
      <w:r w:rsidR="00CC4C93">
        <w:rPr>
          <w:rFonts w:ascii="Cambria" w:hAnsi="Cambria"/>
          <w:bCs/>
          <w:sz w:val="22"/>
          <w:szCs w:val="22"/>
          <w:lang w:val="sk-SK"/>
        </w:rPr>
        <w:t>p</w:t>
      </w:r>
      <w:r w:rsidR="00CC4C93" w:rsidRPr="00CC4C93">
        <w:rPr>
          <w:rFonts w:ascii="Cambria" w:hAnsi="Cambria"/>
          <w:bCs/>
          <w:sz w:val="22"/>
          <w:szCs w:val="22"/>
          <w:lang w:val="sk-SK"/>
        </w:rPr>
        <w:t>redpokladan</w:t>
      </w:r>
      <w:r w:rsidR="00CC4C93">
        <w:rPr>
          <w:rFonts w:ascii="Cambria" w:hAnsi="Cambria"/>
          <w:bCs/>
          <w:sz w:val="22"/>
          <w:szCs w:val="22"/>
          <w:lang w:val="sk-SK"/>
        </w:rPr>
        <w:t>ej</w:t>
      </w:r>
      <w:r w:rsidR="00CC4C93" w:rsidRPr="00CC4C93">
        <w:rPr>
          <w:rFonts w:ascii="Cambria" w:hAnsi="Cambria"/>
          <w:bCs/>
          <w:sz w:val="22"/>
          <w:szCs w:val="22"/>
          <w:lang w:val="sk-SK"/>
        </w:rPr>
        <w:t xml:space="preserve"> lehot</w:t>
      </w:r>
      <w:r w:rsidR="00CC4C93">
        <w:rPr>
          <w:rFonts w:ascii="Cambria" w:hAnsi="Cambria"/>
          <w:bCs/>
          <w:sz w:val="22"/>
          <w:szCs w:val="22"/>
          <w:lang w:val="sk-SK"/>
        </w:rPr>
        <w:t>y</w:t>
      </w:r>
      <w:r w:rsidR="00CC4C93" w:rsidRPr="00CC4C93">
        <w:rPr>
          <w:rFonts w:ascii="Cambria" w:hAnsi="Cambria"/>
          <w:bCs/>
          <w:sz w:val="22"/>
          <w:szCs w:val="22"/>
          <w:lang w:val="sk-SK"/>
        </w:rPr>
        <w:t xml:space="preserve"> plnenia</w:t>
      </w:r>
      <w:r w:rsidR="009F6293">
        <w:rPr>
          <w:rFonts w:ascii="Cambria" w:hAnsi="Cambria"/>
          <w:bCs/>
          <w:sz w:val="22"/>
          <w:szCs w:val="22"/>
          <w:lang w:val="sk-SK"/>
        </w:rPr>
        <w:t>.</w:t>
      </w:r>
    </w:p>
    <w:p w14:paraId="422A0BAE" w14:textId="00EFFD4D" w:rsidR="00EE29DA" w:rsidRPr="00EE29DA" w:rsidRDefault="00EE29DA" w:rsidP="00EE29DA">
      <w:pPr>
        <w:jc w:val="both"/>
        <w:rPr>
          <w:rFonts w:ascii="Cambria" w:hAnsi="Cambria"/>
          <w:bCs/>
          <w:sz w:val="22"/>
          <w:szCs w:val="22"/>
          <w:lang w:val="sk-SK"/>
        </w:rPr>
      </w:pPr>
      <w:r w:rsidRPr="00EE29DA">
        <w:rPr>
          <w:rFonts w:ascii="Cambria" w:hAnsi="Cambria"/>
          <w:bCs/>
          <w:sz w:val="22"/>
          <w:szCs w:val="22"/>
          <w:lang w:val="sk-SK"/>
        </w:rPr>
        <w:t>V Článku V bode 1 návrhu Zmluvy na dodanie diela – Dátová stratégia Národnej banky Slovenska uzatvorenej podľa § 536 až 565 Obchodného zákonníka v znení neskorších predpisov (ďalej len „zmluva“), ktorý tvorí neoddeliteľnú súčasť súťažných podkladov, sa uvádza: „</w:t>
      </w:r>
      <w:r w:rsidRPr="00EE29DA">
        <w:rPr>
          <w:rFonts w:ascii="Cambria" w:hAnsi="Cambria"/>
          <w:bCs/>
          <w:i/>
          <w:iCs/>
          <w:sz w:val="22"/>
          <w:szCs w:val="22"/>
          <w:lang w:val="sk-SK"/>
        </w:rPr>
        <w:t>Poskytovateľ sa zaväzuje vykonať (vytvoriť) a dodať objednávateľovi projekt do štyroch (4) mesiacov odo dňa nadobudnutia účinnosti tejto zmluvy</w:t>
      </w:r>
      <w:r w:rsidRPr="00EE29DA">
        <w:rPr>
          <w:rFonts w:ascii="Cambria" w:hAnsi="Cambria"/>
          <w:bCs/>
          <w:sz w:val="22"/>
          <w:szCs w:val="22"/>
          <w:lang w:val="sk-SK"/>
        </w:rPr>
        <w:t>.“</w:t>
      </w:r>
    </w:p>
    <w:p w14:paraId="48409B32" w14:textId="77777777" w:rsidR="002838B5" w:rsidRDefault="002838B5" w:rsidP="008143BE">
      <w:pPr>
        <w:spacing w:after="60"/>
        <w:jc w:val="both"/>
        <w:rPr>
          <w:rFonts w:ascii="Cambria" w:hAnsi="Cambria"/>
          <w:b/>
          <w:sz w:val="22"/>
          <w:szCs w:val="22"/>
          <w:u w:val="single"/>
          <w:lang w:val="sk-SK"/>
        </w:rPr>
      </w:pPr>
    </w:p>
    <w:p w14:paraId="74786F98" w14:textId="2E73B977" w:rsidR="008143BE" w:rsidRPr="00AE16F4" w:rsidRDefault="008143BE" w:rsidP="008143BE">
      <w:pPr>
        <w:spacing w:after="60"/>
        <w:jc w:val="both"/>
        <w:rPr>
          <w:rFonts w:ascii="Cambria" w:hAnsi="Cambria"/>
          <w:b/>
          <w:sz w:val="22"/>
          <w:szCs w:val="22"/>
          <w:u w:val="single"/>
          <w:lang w:val="sk-SK"/>
        </w:rPr>
      </w:pPr>
      <w:bookmarkStart w:id="2" w:name="_Hlk76561525"/>
      <w:r w:rsidRPr="00AE16F4">
        <w:rPr>
          <w:rFonts w:ascii="Cambria" w:hAnsi="Cambria"/>
          <w:b/>
          <w:sz w:val="22"/>
          <w:szCs w:val="22"/>
          <w:u w:val="single"/>
          <w:lang w:val="sk-SK"/>
        </w:rPr>
        <w:t xml:space="preserve">Otázka č. </w:t>
      </w:r>
      <w:r>
        <w:rPr>
          <w:rFonts w:ascii="Cambria" w:hAnsi="Cambria"/>
          <w:b/>
          <w:sz w:val="22"/>
          <w:szCs w:val="22"/>
          <w:u w:val="single"/>
          <w:lang w:val="sk-SK"/>
        </w:rPr>
        <w:t>4</w:t>
      </w:r>
      <w:r w:rsidRPr="00AE16F4">
        <w:rPr>
          <w:rFonts w:ascii="Cambria" w:hAnsi="Cambria"/>
          <w:b/>
          <w:sz w:val="22"/>
          <w:szCs w:val="22"/>
          <w:u w:val="single"/>
          <w:lang w:val="sk-SK"/>
        </w:rPr>
        <w:t>:</w:t>
      </w:r>
    </w:p>
    <w:bookmarkEnd w:id="2"/>
    <w:p w14:paraId="2CEBF3D8" w14:textId="161635D0" w:rsidR="008143BE" w:rsidRDefault="008143BE" w:rsidP="008143BE">
      <w:pPr>
        <w:jc w:val="both"/>
        <w:rPr>
          <w:rFonts w:ascii="Cambria" w:hAnsi="Cambria"/>
          <w:bCs/>
          <w:sz w:val="22"/>
          <w:szCs w:val="22"/>
          <w:lang w:val="sk-SK"/>
        </w:rPr>
      </w:pPr>
      <w:r w:rsidRPr="008143BE">
        <w:rPr>
          <w:rFonts w:ascii="Cambria" w:hAnsi="Cambria"/>
          <w:bCs/>
          <w:sz w:val="22"/>
          <w:szCs w:val="22"/>
          <w:lang w:val="sk-SK"/>
        </w:rPr>
        <w:t>Pri Kľúčovom expertovi 1 a Kľúčovom expertovi 3 je podľa bodu 37.1.2 požadované dodať</w:t>
      </w:r>
      <w:r>
        <w:rPr>
          <w:rFonts w:ascii="Cambria" w:hAnsi="Cambria"/>
          <w:bCs/>
          <w:sz w:val="22"/>
          <w:szCs w:val="22"/>
          <w:lang w:val="sk-SK"/>
        </w:rPr>
        <w:t xml:space="preserve"> </w:t>
      </w:r>
      <w:r w:rsidRPr="008143BE">
        <w:rPr>
          <w:rFonts w:ascii="Cambria" w:hAnsi="Cambria"/>
          <w:bCs/>
          <w:sz w:val="22"/>
          <w:szCs w:val="22"/>
          <w:lang w:val="sk-SK"/>
        </w:rPr>
        <w:t>jednu osobnú praktickú skúsenosť „v organizácii, ktorá zamestnáva aspoň 500 zamestnancov</w:t>
      </w:r>
      <w:r>
        <w:rPr>
          <w:rFonts w:ascii="Cambria" w:hAnsi="Cambria"/>
          <w:bCs/>
          <w:sz w:val="22"/>
          <w:szCs w:val="22"/>
          <w:lang w:val="sk-SK"/>
        </w:rPr>
        <w:t xml:space="preserve"> </w:t>
      </w:r>
      <w:r>
        <w:rPr>
          <w:rFonts w:ascii="Cambria" w:hAnsi="Cambria"/>
          <w:bCs/>
          <w:sz w:val="22"/>
          <w:szCs w:val="22"/>
          <w:lang w:val="sk-SK"/>
        </w:rPr>
        <w:br/>
      </w:r>
      <w:r w:rsidRPr="008143BE">
        <w:rPr>
          <w:rFonts w:ascii="Cambria" w:hAnsi="Cambria"/>
          <w:bCs/>
          <w:sz w:val="22"/>
          <w:szCs w:val="22"/>
          <w:lang w:val="sk-SK"/>
        </w:rPr>
        <w:lastRenderedPageBreak/>
        <w:t>a prevádzkuje minimálne 25 informačných systémov za predchádzajúce 3 roky....“. Pri</w:t>
      </w:r>
      <w:r>
        <w:rPr>
          <w:rFonts w:ascii="Cambria" w:hAnsi="Cambria"/>
          <w:bCs/>
          <w:sz w:val="22"/>
          <w:szCs w:val="22"/>
          <w:lang w:val="sk-SK"/>
        </w:rPr>
        <w:t xml:space="preserve"> </w:t>
      </w:r>
      <w:r w:rsidRPr="008143BE">
        <w:rPr>
          <w:rFonts w:ascii="Cambria" w:hAnsi="Cambria"/>
          <w:bCs/>
          <w:sz w:val="22"/>
          <w:szCs w:val="22"/>
          <w:lang w:val="sk-SK"/>
        </w:rPr>
        <w:t>požiadavke na referencie zákazníka, prevádzkujúceho 27 systémov je požadovaný akýkoľvek</w:t>
      </w:r>
      <w:r>
        <w:rPr>
          <w:rFonts w:ascii="Cambria" w:hAnsi="Cambria"/>
          <w:bCs/>
          <w:sz w:val="22"/>
          <w:szCs w:val="22"/>
          <w:lang w:val="sk-SK"/>
        </w:rPr>
        <w:t xml:space="preserve"> </w:t>
      </w:r>
      <w:r w:rsidRPr="008143BE">
        <w:rPr>
          <w:rFonts w:ascii="Cambria" w:hAnsi="Cambria"/>
          <w:bCs/>
          <w:sz w:val="22"/>
          <w:szCs w:val="22"/>
          <w:lang w:val="sk-SK"/>
        </w:rPr>
        <w:t>systém pre zber, spracovanie a poskytovanie informácií? Znamená to, že aj samostatný malý</w:t>
      </w:r>
      <w:r>
        <w:rPr>
          <w:rFonts w:ascii="Cambria" w:hAnsi="Cambria"/>
          <w:bCs/>
          <w:sz w:val="22"/>
          <w:szCs w:val="22"/>
          <w:lang w:val="sk-SK"/>
        </w:rPr>
        <w:t xml:space="preserve"> </w:t>
      </w:r>
      <w:r w:rsidRPr="008143BE">
        <w:rPr>
          <w:rFonts w:ascii="Cambria" w:hAnsi="Cambria"/>
          <w:bCs/>
          <w:sz w:val="22"/>
          <w:szCs w:val="22"/>
          <w:lang w:val="sk-SK"/>
        </w:rPr>
        <w:t>„systém“ napr. pre spracovanie miezd je počítaný rovnako, ako komplexný systém, kde</w:t>
      </w:r>
      <w:r>
        <w:rPr>
          <w:rFonts w:ascii="Cambria" w:hAnsi="Cambria"/>
          <w:bCs/>
          <w:sz w:val="22"/>
          <w:szCs w:val="22"/>
          <w:lang w:val="sk-SK"/>
        </w:rPr>
        <w:t xml:space="preserve"> </w:t>
      </w:r>
      <w:r w:rsidRPr="008143BE">
        <w:rPr>
          <w:rFonts w:ascii="Cambria" w:hAnsi="Cambria"/>
          <w:bCs/>
          <w:sz w:val="22"/>
          <w:szCs w:val="22"/>
          <w:lang w:val="sk-SK"/>
        </w:rPr>
        <w:t>spracovanie miezd je len jeden z mnohých modulov jedného systému? V takom prípade nie</w:t>
      </w:r>
      <w:r>
        <w:rPr>
          <w:rFonts w:ascii="Cambria" w:hAnsi="Cambria"/>
          <w:bCs/>
          <w:sz w:val="22"/>
          <w:szCs w:val="22"/>
          <w:lang w:val="sk-SK"/>
        </w:rPr>
        <w:t xml:space="preserve"> </w:t>
      </w:r>
      <w:r w:rsidRPr="008143BE">
        <w:rPr>
          <w:rFonts w:ascii="Cambria" w:hAnsi="Cambria"/>
          <w:bCs/>
          <w:sz w:val="22"/>
          <w:szCs w:val="22"/>
          <w:lang w:val="sk-SK"/>
        </w:rPr>
        <w:t>sú referencie subjektov, ktoré viacero agend spracúvajú v jednom systéme rovnocenné voči</w:t>
      </w:r>
      <w:r>
        <w:rPr>
          <w:rFonts w:ascii="Cambria" w:hAnsi="Cambria"/>
          <w:bCs/>
          <w:sz w:val="22"/>
          <w:szCs w:val="22"/>
          <w:lang w:val="sk-SK"/>
        </w:rPr>
        <w:t xml:space="preserve"> </w:t>
      </w:r>
      <w:r w:rsidRPr="008143BE">
        <w:rPr>
          <w:rFonts w:ascii="Cambria" w:hAnsi="Cambria"/>
          <w:bCs/>
          <w:sz w:val="22"/>
          <w:szCs w:val="22"/>
          <w:lang w:val="sk-SK"/>
        </w:rPr>
        <w:t>referenciám subjektov, kde pre každú agendu je samostatný „systém“.</w:t>
      </w:r>
    </w:p>
    <w:p w14:paraId="7ABC023F" w14:textId="19AF15F6" w:rsidR="008143BE" w:rsidRDefault="008143BE" w:rsidP="008143BE">
      <w:pPr>
        <w:jc w:val="both"/>
        <w:rPr>
          <w:rFonts w:ascii="Cambria" w:hAnsi="Cambria"/>
          <w:bCs/>
          <w:sz w:val="22"/>
          <w:szCs w:val="22"/>
          <w:lang w:val="sk-SK"/>
        </w:rPr>
      </w:pPr>
    </w:p>
    <w:p w14:paraId="72C897A2" w14:textId="77777777" w:rsidR="008143BE" w:rsidRDefault="008143BE" w:rsidP="008143BE">
      <w:pPr>
        <w:jc w:val="both"/>
        <w:rPr>
          <w:rFonts w:ascii="Cambria" w:hAnsi="Cambria"/>
          <w:b/>
          <w:sz w:val="22"/>
          <w:szCs w:val="22"/>
          <w:u w:val="single"/>
          <w:lang w:val="sk-SK"/>
        </w:rPr>
      </w:pPr>
      <w:bookmarkStart w:id="3" w:name="_Hlk76561552"/>
      <w:r w:rsidRPr="00763560">
        <w:rPr>
          <w:rFonts w:ascii="Cambria" w:hAnsi="Cambria"/>
          <w:b/>
          <w:sz w:val="22"/>
          <w:szCs w:val="22"/>
          <w:u w:val="single"/>
          <w:lang w:val="sk-SK"/>
        </w:rPr>
        <w:t xml:space="preserve">Odpoveď: </w:t>
      </w:r>
    </w:p>
    <w:bookmarkEnd w:id="3"/>
    <w:p w14:paraId="5BA943C1" w14:textId="33FD2A0D" w:rsidR="0028799D" w:rsidRDefault="0028799D" w:rsidP="0028799D">
      <w:pPr>
        <w:jc w:val="both"/>
        <w:rPr>
          <w:rFonts w:ascii="Cambria" w:hAnsi="Cambria"/>
          <w:bCs/>
          <w:sz w:val="22"/>
          <w:szCs w:val="22"/>
          <w:lang w:val="sk-SK"/>
        </w:rPr>
      </w:pPr>
      <w:r w:rsidRPr="00FB733B">
        <w:rPr>
          <w:rFonts w:ascii="Cambria" w:hAnsi="Cambria"/>
          <w:bCs/>
          <w:sz w:val="22"/>
          <w:szCs w:val="22"/>
          <w:lang w:val="sk-SK"/>
        </w:rPr>
        <w:t>V</w:t>
      </w:r>
      <w:r w:rsidR="00344EB6" w:rsidRPr="00FB733B">
        <w:rPr>
          <w:rFonts w:ascii="Cambria" w:hAnsi="Cambria"/>
          <w:bCs/>
          <w:sz w:val="22"/>
          <w:szCs w:val="22"/>
          <w:lang w:val="sk-SK"/>
        </w:rPr>
        <w:t>erejný obstarávateľ definuje informačný systém</w:t>
      </w:r>
      <w:r w:rsidRPr="00FB733B">
        <w:rPr>
          <w:rFonts w:ascii="Cambria" w:hAnsi="Cambria"/>
          <w:bCs/>
          <w:sz w:val="22"/>
          <w:szCs w:val="22"/>
          <w:lang w:val="sk-SK"/>
        </w:rPr>
        <w:t xml:space="preserve">  Národnej banky Slovenska </w:t>
      </w:r>
      <w:r w:rsidR="00344EB6" w:rsidRPr="00FB733B">
        <w:rPr>
          <w:rFonts w:ascii="Cambria" w:hAnsi="Cambria"/>
          <w:bCs/>
          <w:sz w:val="22"/>
          <w:szCs w:val="22"/>
          <w:lang w:val="sk-SK"/>
        </w:rPr>
        <w:t>nasledovne:</w:t>
      </w:r>
      <w:r w:rsidRPr="00FB733B">
        <w:rPr>
          <w:rFonts w:ascii="Cambria" w:hAnsi="Cambria"/>
          <w:bCs/>
          <w:sz w:val="22"/>
          <w:szCs w:val="22"/>
          <w:lang w:val="sk-SK"/>
        </w:rPr>
        <w:t xml:space="preserve"> </w:t>
      </w:r>
      <w:r w:rsidR="00344EB6" w:rsidRPr="00FB733B">
        <w:rPr>
          <w:rFonts w:ascii="Cambria" w:hAnsi="Cambria"/>
          <w:bCs/>
          <w:sz w:val="22"/>
          <w:szCs w:val="22"/>
          <w:lang w:val="sk-SK"/>
        </w:rPr>
        <w:t>„</w:t>
      </w:r>
      <w:r w:rsidR="00344EB6" w:rsidRPr="00344EB6">
        <w:rPr>
          <w:rFonts w:ascii="Cambria" w:hAnsi="Cambria"/>
          <w:bCs/>
          <w:i/>
          <w:iCs/>
          <w:sz w:val="22"/>
          <w:szCs w:val="22"/>
          <w:lang w:val="sk-SK"/>
        </w:rPr>
        <w:t xml:space="preserve">Informačným systémom sa rozumie množina vzájomne prepojených IT, </w:t>
      </w:r>
      <w:bookmarkStart w:id="4" w:name="_Hlk76638022"/>
      <w:r w:rsidR="00344EB6" w:rsidRPr="00344EB6">
        <w:rPr>
          <w:rFonts w:ascii="Cambria" w:hAnsi="Cambria"/>
          <w:bCs/>
          <w:i/>
          <w:iCs/>
          <w:sz w:val="22"/>
          <w:szCs w:val="22"/>
          <w:lang w:val="sk-SK"/>
        </w:rPr>
        <w:t>ktoré umožňujú automatizovane vykonávať</w:t>
      </w:r>
      <w:bookmarkEnd w:id="4"/>
      <w:r w:rsidR="00344EB6" w:rsidRPr="00344EB6">
        <w:rPr>
          <w:rFonts w:ascii="Cambria" w:hAnsi="Cambria"/>
          <w:bCs/>
          <w:i/>
          <w:iCs/>
          <w:sz w:val="22"/>
          <w:szCs w:val="22"/>
          <w:lang w:val="sk-SK"/>
        </w:rPr>
        <w:t xml:space="preserve"> účelovú množinu funkcií na podporu jednej alebo viacerých činností NBS. Pojem informačný systém zahŕňa aj komunikačný systém, ktorého rozhodujúcou funkciou je prenos informácií</w:t>
      </w:r>
      <w:r w:rsidR="00344EB6" w:rsidRPr="00344EB6">
        <w:rPr>
          <w:rFonts w:ascii="Cambria" w:hAnsi="Cambria"/>
          <w:bCs/>
          <w:sz w:val="22"/>
          <w:szCs w:val="22"/>
          <w:lang w:val="sk-SK"/>
        </w:rPr>
        <w:t>.“</w:t>
      </w:r>
      <w:r w:rsidR="00344EB6">
        <w:rPr>
          <w:rFonts w:ascii="Cambria" w:hAnsi="Cambria"/>
          <w:bCs/>
          <w:sz w:val="22"/>
          <w:szCs w:val="22"/>
          <w:lang w:val="sk-SK"/>
        </w:rPr>
        <w:t xml:space="preserve"> </w:t>
      </w:r>
      <w:r>
        <w:rPr>
          <w:rFonts w:ascii="Cambria" w:hAnsi="Cambria"/>
          <w:bCs/>
          <w:sz w:val="22"/>
          <w:szCs w:val="22"/>
          <w:lang w:val="sk-SK"/>
        </w:rPr>
        <w:t>Analogicky s  touto definíciou informačného systému v NBS, bude verejný obstarávateľ akceptovať pre účely predmetného verejného obstarávania</w:t>
      </w:r>
      <w:r w:rsidRPr="002C77F2">
        <w:rPr>
          <w:rFonts w:ascii="Cambria" w:hAnsi="Cambria"/>
          <w:bCs/>
          <w:sz w:val="22"/>
          <w:szCs w:val="22"/>
          <w:lang w:val="sk-SK"/>
        </w:rPr>
        <w:t xml:space="preserve"> </w:t>
      </w:r>
      <w:r>
        <w:rPr>
          <w:rFonts w:ascii="Cambria" w:hAnsi="Cambria"/>
          <w:bCs/>
          <w:sz w:val="22"/>
          <w:szCs w:val="22"/>
          <w:lang w:val="sk-SK"/>
        </w:rPr>
        <w:t xml:space="preserve">informačné systémy, </w:t>
      </w:r>
      <w:r w:rsidRPr="00E0494E">
        <w:rPr>
          <w:rFonts w:ascii="Cambria" w:hAnsi="Cambria"/>
          <w:bCs/>
          <w:sz w:val="22"/>
          <w:szCs w:val="22"/>
          <w:lang w:val="sk-SK"/>
        </w:rPr>
        <w:t>ktoré umožňujú automatizovane vykonávať</w:t>
      </w:r>
      <w:r>
        <w:rPr>
          <w:rFonts w:ascii="Cambria" w:hAnsi="Cambria"/>
          <w:bCs/>
          <w:sz w:val="22"/>
          <w:szCs w:val="22"/>
          <w:lang w:val="sk-SK"/>
        </w:rPr>
        <w:t xml:space="preserve"> funkcie podporujúce činnosti poskytovateľa referencie.   </w:t>
      </w:r>
    </w:p>
    <w:p w14:paraId="6CEA4792" w14:textId="3E826A13" w:rsidR="008143BE" w:rsidRDefault="00344EB6" w:rsidP="008143BE">
      <w:pPr>
        <w:jc w:val="both"/>
        <w:rPr>
          <w:rFonts w:ascii="Cambria" w:hAnsi="Cambria"/>
          <w:bCs/>
          <w:sz w:val="22"/>
          <w:szCs w:val="22"/>
          <w:lang w:val="sk-SK"/>
        </w:rPr>
      </w:pPr>
      <w:r w:rsidRPr="002C77F2">
        <w:rPr>
          <w:rFonts w:ascii="Cambria" w:hAnsi="Cambria"/>
          <w:bCs/>
          <w:sz w:val="22"/>
          <w:szCs w:val="22"/>
          <w:lang w:val="sk-SK"/>
        </w:rPr>
        <w:t>Verejný obstarávateľ</w:t>
      </w:r>
      <w:r w:rsidR="0028799D">
        <w:rPr>
          <w:rFonts w:ascii="Cambria" w:hAnsi="Cambria"/>
          <w:bCs/>
          <w:sz w:val="22"/>
          <w:szCs w:val="22"/>
          <w:lang w:val="sk-SK"/>
        </w:rPr>
        <w:t xml:space="preserve"> zároveň </w:t>
      </w:r>
      <w:r>
        <w:rPr>
          <w:rFonts w:ascii="Cambria" w:hAnsi="Cambria"/>
          <w:bCs/>
          <w:sz w:val="22"/>
          <w:szCs w:val="22"/>
          <w:lang w:val="sk-SK"/>
        </w:rPr>
        <w:t>neurčuje veľkosť informačných systémov prevádzkovaných poskytovateľom referencie</w:t>
      </w:r>
      <w:r w:rsidR="00E0494E">
        <w:rPr>
          <w:rFonts w:ascii="Cambria" w:hAnsi="Cambria"/>
          <w:bCs/>
          <w:sz w:val="22"/>
          <w:szCs w:val="22"/>
          <w:lang w:val="sk-SK"/>
        </w:rPr>
        <w:t>, pričom jednotlivé moduly informačných systémov nepovažuje za samostatné informačné systémy.</w:t>
      </w:r>
      <w:r>
        <w:rPr>
          <w:rFonts w:ascii="Cambria" w:hAnsi="Cambria"/>
          <w:bCs/>
          <w:sz w:val="22"/>
          <w:szCs w:val="22"/>
          <w:lang w:val="sk-SK"/>
        </w:rPr>
        <w:t xml:space="preserve"> </w:t>
      </w:r>
    </w:p>
    <w:p w14:paraId="6433D315" w14:textId="184D31AD" w:rsidR="008143BE" w:rsidRDefault="00F22B12" w:rsidP="008143BE">
      <w:pPr>
        <w:jc w:val="both"/>
        <w:rPr>
          <w:rFonts w:ascii="Cambria" w:hAnsi="Cambria"/>
          <w:bCs/>
          <w:sz w:val="22"/>
          <w:szCs w:val="22"/>
          <w:lang w:val="sk-SK"/>
        </w:rPr>
      </w:pPr>
      <w:r w:rsidRPr="0036766B">
        <w:rPr>
          <w:rFonts w:ascii="Cambria" w:hAnsi="Cambria"/>
          <w:bCs/>
          <w:sz w:val="22"/>
          <w:szCs w:val="22"/>
          <w:lang w:val="sk-SK"/>
        </w:rPr>
        <w:t xml:space="preserve">Verejný obstarávateľ pripája </w:t>
      </w:r>
      <w:r>
        <w:rPr>
          <w:rFonts w:ascii="Cambria" w:hAnsi="Cambria"/>
          <w:bCs/>
          <w:sz w:val="22"/>
          <w:szCs w:val="22"/>
          <w:lang w:val="sk-SK"/>
        </w:rPr>
        <w:t xml:space="preserve">vyššie uvedený text </w:t>
      </w:r>
      <w:r w:rsidRPr="0036766B">
        <w:rPr>
          <w:rFonts w:ascii="Cambria" w:hAnsi="Cambria"/>
          <w:bCs/>
          <w:sz w:val="22"/>
          <w:szCs w:val="22"/>
          <w:lang w:val="sk-SK"/>
        </w:rPr>
        <w:t>k </w:t>
      </w:r>
      <w:r>
        <w:rPr>
          <w:rFonts w:ascii="Cambria" w:hAnsi="Cambria"/>
          <w:bCs/>
          <w:sz w:val="22"/>
          <w:szCs w:val="22"/>
          <w:lang w:val="sk-SK"/>
        </w:rPr>
        <w:t xml:space="preserve"> </w:t>
      </w:r>
      <w:r w:rsidRPr="0036766B">
        <w:rPr>
          <w:rFonts w:ascii="Cambria" w:hAnsi="Cambria"/>
          <w:bCs/>
          <w:sz w:val="22"/>
          <w:szCs w:val="22"/>
          <w:lang w:val="sk-SK"/>
        </w:rPr>
        <w:t xml:space="preserve">už uvedenému textu do bodu </w:t>
      </w:r>
      <w:r>
        <w:rPr>
          <w:rFonts w:ascii="Cambria" w:hAnsi="Cambria"/>
          <w:bCs/>
          <w:sz w:val="22"/>
          <w:szCs w:val="22"/>
          <w:lang w:val="sk-SK"/>
        </w:rPr>
        <w:t xml:space="preserve">37.1.2.1 </w:t>
      </w:r>
      <w:r w:rsidRPr="0036766B">
        <w:rPr>
          <w:rFonts w:ascii="Cambria" w:hAnsi="Cambria"/>
          <w:bCs/>
          <w:sz w:val="22"/>
          <w:szCs w:val="22"/>
          <w:lang w:val="sk-SK"/>
        </w:rPr>
        <w:t>súťažných</w:t>
      </w:r>
      <w:r>
        <w:rPr>
          <w:rFonts w:ascii="Cambria" w:hAnsi="Cambria"/>
          <w:bCs/>
          <w:sz w:val="22"/>
          <w:szCs w:val="22"/>
          <w:lang w:val="sk-SK"/>
        </w:rPr>
        <w:t xml:space="preserve"> podkladov za odsek: „</w:t>
      </w:r>
      <w:r w:rsidRPr="00294EBE">
        <w:rPr>
          <w:rFonts w:ascii="Cambria" w:hAnsi="Cambria"/>
          <w:bCs/>
          <w:i/>
          <w:iCs/>
          <w:sz w:val="22"/>
          <w:szCs w:val="22"/>
          <w:lang w:val="sk-SK"/>
        </w:rPr>
        <w:t>Jedna osobná praktická skúsenosť s realizáciou projektu, ktorého obsahom bola príprava návrhu IT stratégie, alebo dátovej stratégie v  organizácii, ktorá zamestnáva aspoň 500 zamestnancov a prevádzkuje minimálne 25 informačných systémov za predchádzajúce 3 roky od vyhlásenia verejného obstarávania na pozícií zodpovednej za analýzu a prípravu stratégie.</w:t>
      </w:r>
      <w:r>
        <w:rPr>
          <w:rFonts w:ascii="Cambria" w:hAnsi="Cambria"/>
          <w:bCs/>
          <w:sz w:val="22"/>
          <w:szCs w:val="22"/>
          <w:lang w:val="sk-SK"/>
        </w:rPr>
        <w:t>“ a platí pre všetkých kľúčových expertov.</w:t>
      </w:r>
    </w:p>
    <w:p w14:paraId="3F3967BA" w14:textId="77777777" w:rsidR="00F22B12" w:rsidRPr="008143BE" w:rsidRDefault="00F22B12" w:rsidP="008143BE">
      <w:pPr>
        <w:jc w:val="both"/>
        <w:rPr>
          <w:rFonts w:ascii="Cambria" w:hAnsi="Cambria"/>
          <w:bCs/>
          <w:sz w:val="22"/>
          <w:szCs w:val="22"/>
          <w:lang w:val="sk-SK"/>
        </w:rPr>
      </w:pPr>
    </w:p>
    <w:p w14:paraId="74D5D03D" w14:textId="6D1B26B4" w:rsidR="008143BE" w:rsidRPr="00AE16F4" w:rsidRDefault="008143BE" w:rsidP="008143BE">
      <w:pPr>
        <w:spacing w:after="60"/>
        <w:jc w:val="both"/>
        <w:rPr>
          <w:rFonts w:ascii="Cambria" w:hAnsi="Cambria"/>
          <w:b/>
          <w:sz w:val="22"/>
          <w:szCs w:val="22"/>
          <w:u w:val="single"/>
          <w:lang w:val="sk-SK"/>
        </w:rPr>
      </w:pPr>
      <w:r w:rsidRPr="00AE16F4">
        <w:rPr>
          <w:rFonts w:ascii="Cambria" w:hAnsi="Cambria"/>
          <w:b/>
          <w:sz w:val="22"/>
          <w:szCs w:val="22"/>
          <w:u w:val="single"/>
          <w:lang w:val="sk-SK"/>
        </w:rPr>
        <w:t xml:space="preserve">Otázka č. </w:t>
      </w:r>
      <w:r>
        <w:rPr>
          <w:rFonts w:ascii="Cambria" w:hAnsi="Cambria"/>
          <w:b/>
          <w:sz w:val="22"/>
          <w:szCs w:val="22"/>
          <w:u w:val="single"/>
          <w:lang w:val="sk-SK"/>
        </w:rPr>
        <w:t>5</w:t>
      </w:r>
      <w:r w:rsidRPr="00AE16F4">
        <w:rPr>
          <w:rFonts w:ascii="Cambria" w:hAnsi="Cambria"/>
          <w:b/>
          <w:sz w:val="22"/>
          <w:szCs w:val="22"/>
          <w:u w:val="single"/>
          <w:lang w:val="sk-SK"/>
        </w:rPr>
        <w:t>:</w:t>
      </w:r>
    </w:p>
    <w:p w14:paraId="1C8DDB9D" w14:textId="377D4498" w:rsidR="008143BE" w:rsidRDefault="008143BE" w:rsidP="008143BE">
      <w:pPr>
        <w:jc w:val="both"/>
        <w:rPr>
          <w:rFonts w:ascii="Cambria" w:hAnsi="Cambria"/>
          <w:bCs/>
          <w:sz w:val="22"/>
          <w:szCs w:val="22"/>
          <w:lang w:val="sk-SK"/>
        </w:rPr>
      </w:pPr>
      <w:r w:rsidRPr="008143BE">
        <w:rPr>
          <w:rFonts w:ascii="Cambria" w:hAnsi="Cambria"/>
          <w:bCs/>
          <w:sz w:val="22"/>
          <w:szCs w:val="22"/>
          <w:lang w:val="sk-SK"/>
        </w:rPr>
        <w:t xml:space="preserve">Podľa bodu 39.9. sa: „Maximálny počet bodov pri kritériu č. 2 sa pridelí ponuke uchádzača </w:t>
      </w:r>
      <w:r>
        <w:rPr>
          <w:rFonts w:ascii="Cambria" w:hAnsi="Cambria"/>
          <w:bCs/>
          <w:sz w:val="22"/>
          <w:szCs w:val="22"/>
          <w:lang w:val="sk-SK"/>
        </w:rPr>
        <w:br/>
      </w:r>
      <w:r w:rsidRPr="008143BE">
        <w:rPr>
          <w:rFonts w:ascii="Cambria" w:hAnsi="Cambria"/>
          <w:bCs/>
          <w:sz w:val="22"/>
          <w:szCs w:val="22"/>
          <w:lang w:val="sk-SK"/>
        </w:rPr>
        <w:t>s</w:t>
      </w:r>
      <w:r>
        <w:rPr>
          <w:rFonts w:ascii="Cambria" w:hAnsi="Cambria"/>
          <w:bCs/>
          <w:sz w:val="22"/>
          <w:szCs w:val="22"/>
          <w:lang w:val="sk-SK"/>
        </w:rPr>
        <w:t xml:space="preserve"> </w:t>
      </w:r>
      <w:r w:rsidRPr="008143BE">
        <w:rPr>
          <w:rFonts w:ascii="Cambria" w:hAnsi="Cambria"/>
          <w:bCs/>
          <w:sz w:val="22"/>
          <w:szCs w:val="22"/>
          <w:lang w:val="sk-SK"/>
        </w:rPr>
        <w:t>najvyššou hodnotou bodov zohľadňujúcich počet osobných praktických skúseností kľúčových</w:t>
      </w:r>
      <w:r>
        <w:rPr>
          <w:rFonts w:ascii="Cambria" w:hAnsi="Cambria"/>
          <w:bCs/>
          <w:sz w:val="22"/>
          <w:szCs w:val="22"/>
          <w:lang w:val="sk-SK"/>
        </w:rPr>
        <w:t xml:space="preserve"> </w:t>
      </w:r>
      <w:r w:rsidRPr="008143BE">
        <w:rPr>
          <w:rFonts w:ascii="Cambria" w:hAnsi="Cambria"/>
          <w:bCs/>
          <w:sz w:val="22"/>
          <w:szCs w:val="22"/>
          <w:lang w:val="sk-SK"/>
        </w:rPr>
        <w:t>expertov č. 1 až č. 3 s ďalšími projektami (s výnimkou projektov preukazujúcich splnenie</w:t>
      </w:r>
      <w:r>
        <w:rPr>
          <w:rFonts w:ascii="Cambria" w:hAnsi="Cambria"/>
          <w:bCs/>
          <w:sz w:val="22"/>
          <w:szCs w:val="22"/>
          <w:lang w:val="sk-SK"/>
        </w:rPr>
        <w:t xml:space="preserve"> </w:t>
      </w:r>
      <w:r w:rsidRPr="008143BE">
        <w:rPr>
          <w:rFonts w:ascii="Cambria" w:hAnsi="Cambria"/>
          <w:bCs/>
          <w:sz w:val="22"/>
          <w:szCs w:val="22"/>
          <w:lang w:val="sk-SK"/>
        </w:rPr>
        <w:t>podmienok účasti ) v zmysle bodu 37.1.2.1“ Znamená to, že projekty preukazujúce splnenie</w:t>
      </w:r>
      <w:r>
        <w:rPr>
          <w:rFonts w:ascii="Cambria" w:hAnsi="Cambria"/>
          <w:bCs/>
          <w:sz w:val="22"/>
          <w:szCs w:val="22"/>
          <w:lang w:val="sk-SK"/>
        </w:rPr>
        <w:t xml:space="preserve"> </w:t>
      </w:r>
      <w:r w:rsidRPr="008143BE">
        <w:rPr>
          <w:rFonts w:ascii="Cambria" w:hAnsi="Cambria"/>
          <w:bCs/>
          <w:sz w:val="22"/>
          <w:szCs w:val="22"/>
          <w:lang w:val="sk-SK"/>
        </w:rPr>
        <w:t>podmienok účasti sa do výpočtu pridelených bodov nezarátavajú?</w:t>
      </w:r>
    </w:p>
    <w:p w14:paraId="67F4CF96" w14:textId="35CC8A7B" w:rsidR="008143BE" w:rsidRDefault="008143BE" w:rsidP="008143BE">
      <w:pPr>
        <w:jc w:val="both"/>
        <w:rPr>
          <w:rFonts w:ascii="Cambria" w:hAnsi="Cambria"/>
          <w:bCs/>
          <w:sz w:val="22"/>
          <w:szCs w:val="22"/>
          <w:lang w:val="sk-SK"/>
        </w:rPr>
      </w:pPr>
    </w:p>
    <w:p w14:paraId="311FEBC5" w14:textId="77777777" w:rsidR="008143BE" w:rsidRDefault="008143BE" w:rsidP="008143BE">
      <w:pPr>
        <w:jc w:val="both"/>
        <w:rPr>
          <w:rFonts w:ascii="Cambria" w:hAnsi="Cambria"/>
          <w:b/>
          <w:sz w:val="22"/>
          <w:szCs w:val="22"/>
          <w:u w:val="single"/>
          <w:lang w:val="sk-SK"/>
        </w:rPr>
      </w:pPr>
      <w:r w:rsidRPr="00763560">
        <w:rPr>
          <w:rFonts w:ascii="Cambria" w:hAnsi="Cambria"/>
          <w:b/>
          <w:sz w:val="22"/>
          <w:szCs w:val="22"/>
          <w:u w:val="single"/>
          <w:lang w:val="sk-SK"/>
        </w:rPr>
        <w:t xml:space="preserve">Odpoveď: </w:t>
      </w:r>
    </w:p>
    <w:p w14:paraId="65BB7851" w14:textId="606077FE" w:rsidR="008143BE" w:rsidRDefault="00C834C2" w:rsidP="000558D5">
      <w:pPr>
        <w:jc w:val="both"/>
        <w:rPr>
          <w:rFonts w:ascii="Cambria" w:hAnsi="Cambria"/>
          <w:sz w:val="22"/>
          <w:szCs w:val="22"/>
          <w:lang w:val="sk-SK"/>
        </w:rPr>
      </w:pPr>
      <w:r>
        <w:rPr>
          <w:rFonts w:ascii="Cambria" w:hAnsi="Cambria"/>
          <w:bCs/>
          <w:sz w:val="22"/>
          <w:szCs w:val="22"/>
          <w:lang w:val="sk-SK"/>
        </w:rPr>
        <w:t xml:space="preserve"> V bode </w:t>
      </w:r>
      <w:r w:rsidR="000558D5" w:rsidRPr="000558D5">
        <w:rPr>
          <w:rFonts w:ascii="Cambria" w:hAnsi="Cambria"/>
          <w:bCs/>
          <w:sz w:val="22"/>
          <w:szCs w:val="22"/>
          <w:lang w:val="sk-SK"/>
        </w:rPr>
        <w:t>39.9</w:t>
      </w:r>
      <w:r>
        <w:rPr>
          <w:rFonts w:ascii="Cambria" w:hAnsi="Cambria"/>
          <w:bCs/>
          <w:sz w:val="22"/>
          <w:szCs w:val="22"/>
          <w:lang w:val="sk-SK"/>
        </w:rPr>
        <w:t xml:space="preserve"> </w:t>
      </w:r>
      <w:r w:rsidR="000558D5" w:rsidRPr="000558D5">
        <w:rPr>
          <w:rFonts w:ascii="Cambria" w:hAnsi="Cambria"/>
          <w:bCs/>
          <w:sz w:val="22"/>
          <w:szCs w:val="22"/>
          <w:lang w:val="sk-SK"/>
        </w:rPr>
        <w:t>Pravidlá na uplatnenie kritérií</w:t>
      </w:r>
      <w:r>
        <w:rPr>
          <w:rFonts w:ascii="Cambria" w:hAnsi="Cambria"/>
          <w:bCs/>
          <w:sz w:val="22"/>
          <w:szCs w:val="22"/>
          <w:lang w:val="sk-SK"/>
        </w:rPr>
        <w:t xml:space="preserve"> súťažných podkladov sa uvádza</w:t>
      </w:r>
      <w:r w:rsidR="000558D5" w:rsidRPr="000558D5">
        <w:rPr>
          <w:rFonts w:ascii="Cambria" w:hAnsi="Cambria"/>
          <w:bCs/>
          <w:sz w:val="22"/>
          <w:szCs w:val="22"/>
          <w:lang w:val="sk-SK"/>
        </w:rPr>
        <w:t>:</w:t>
      </w:r>
      <w:r>
        <w:rPr>
          <w:rFonts w:ascii="Cambria" w:hAnsi="Cambria"/>
          <w:bCs/>
          <w:sz w:val="22"/>
          <w:szCs w:val="22"/>
          <w:lang w:val="sk-SK"/>
        </w:rPr>
        <w:t xml:space="preserve"> „</w:t>
      </w:r>
      <w:r w:rsidR="000558D5" w:rsidRPr="00C834C2">
        <w:rPr>
          <w:rFonts w:ascii="Cambria" w:hAnsi="Cambria"/>
          <w:i/>
          <w:iCs/>
          <w:sz w:val="22"/>
          <w:szCs w:val="22"/>
          <w:lang w:val="sk-SK"/>
        </w:rPr>
        <w:t xml:space="preserve">Maximálny počet bodov pri kritériu č. 2 sa pridelí ponuke uchádzača s najvyššou hodnotou bodov </w:t>
      </w:r>
      <w:bookmarkStart w:id="5" w:name="_Hlk76629688"/>
      <w:r w:rsidR="000558D5" w:rsidRPr="00C834C2">
        <w:rPr>
          <w:rFonts w:ascii="Cambria" w:hAnsi="Cambria"/>
          <w:i/>
          <w:iCs/>
          <w:sz w:val="22"/>
          <w:szCs w:val="22"/>
          <w:lang w:val="sk-SK"/>
        </w:rPr>
        <w:t xml:space="preserve">zohľadňujúcich počet osobných praktických skúseností kľúčových expertov č. 1 až č. 3 s ďalšími projektami </w:t>
      </w:r>
      <w:bookmarkEnd w:id="5"/>
      <w:r w:rsidR="000558D5" w:rsidRPr="00C834C2">
        <w:rPr>
          <w:rFonts w:ascii="Cambria" w:hAnsi="Cambria"/>
          <w:i/>
          <w:iCs/>
          <w:sz w:val="22"/>
          <w:szCs w:val="22"/>
          <w:lang w:val="sk-SK"/>
        </w:rPr>
        <w:t>(</w:t>
      </w:r>
      <w:r w:rsidR="000558D5" w:rsidRPr="00C834C2">
        <w:rPr>
          <w:rFonts w:ascii="Cambria" w:hAnsi="Cambria"/>
          <w:b/>
          <w:bCs/>
          <w:i/>
          <w:iCs/>
          <w:sz w:val="22"/>
          <w:szCs w:val="22"/>
          <w:lang w:val="sk-SK"/>
        </w:rPr>
        <w:t>s výnimkou projektov preukazujúcich splnenie podmienok účasti</w:t>
      </w:r>
      <w:r w:rsidR="000558D5" w:rsidRPr="00C834C2">
        <w:rPr>
          <w:rFonts w:ascii="Cambria" w:hAnsi="Cambria"/>
          <w:i/>
          <w:iCs/>
          <w:sz w:val="22"/>
          <w:szCs w:val="22"/>
          <w:lang w:val="sk-SK"/>
        </w:rPr>
        <w:t>) v zmysle bodu 37.1.2.1 podľa pozície za predchádzajúcich 5 rokov od vyhlásenia verejného obstarávania a podiel kľúčových expertov č. 1 až č. 3 na plnení predmetu zákazky a pri ostatných ponukách sa určí úmerou. Takto vypočítané hodnoty bodov ostatných ponúk sa zaokrúhlia na dve desatinné miesta</w:t>
      </w:r>
      <w:r w:rsidR="000558D5" w:rsidRPr="000558D5">
        <w:rPr>
          <w:rFonts w:ascii="Cambria" w:hAnsi="Cambria"/>
          <w:sz w:val="22"/>
          <w:szCs w:val="22"/>
          <w:lang w:val="sk-SK"/>
        </w:rPr>
        <w:t>.</w:t>
      </w:r>
      <w:r>
        <w:rPr>
          <w:rFonts w:ascii="Cambria" w:hAnsi="Cambria"/>
          <w:sz w:val="22"/>
          <w:szCs w:val="22"/>
          <w:lang w:val="sk-SK"/>
        </w:rPr>
        <w:t xml:space="preserve">“ </w:t>
      </w:r>
    </w:p>
    <w:p w14:paraId="6FE83691" w14:textId="25CB0D56" w:rsidR="00C834C2" w:rsidRPr="00C834C2" w:rsidRDefault="00C834C2" w:rsidP="000558D5">
      <w:pPr>
        <w:jc w:val="both"/>
        <w:rPr>
          <w:rFonts w:ascii="Cambria" w:hAnsi="Cambria"/>
          <w:bCs/>
          <w:sz w:val="22"/>
          <w:szCs w:val="22"/>
          <w:lang w:val="sk-SK"/>
        </w:rPr>
      </w:pPr>
      <w:r w:rsidRPr="00595033">
        <w:rPr>
          <w:rFonts w:ascii="Cambria" w:hAnsi="Cambria"/>
          <w:sz w:val="22"/>
          <w:szCs w:val="22"/>
          <w:lang w:val="sk-SK"/>
        </w:rPr>
        <w:t xml:space="preserve">Z vyššie uvedeného jednoznačne vyplýva, že projekty kľúčových expertov preukazujúce splnenie podmienok účasti podľa bodu 37.1.2 súťažných pokladov, sa nezarátavajú do výpočtu pridelených bodov zohľadňujúcich počet osobných praktických skúseností kľúčových expertov č. 1 až č. 3 </w:t>
      </w:r>
      <w:r w:rsidRPr="00595033">
        <w:rPr>
          <w:rFonts w:ascii="Cambria" w:hAnsi="Cambria"/>
          <w:sz w:val="22"/>
          <w:szCs w:val="22"/>
          <w:lang w:val="sk-SK"/>
        </w:rPr>
        <w:br/>
        <w:t>s ďalšími projektami.</w:t>
      </w:r>
      <w:r w:rsidRPr="00C834C2">
        <w:rPr>
          <w:rFonts w:ascii="Cambria" w:hAnsi="Cambria"/>
          <w:sz w:val="22"/>
          <w:szCs w:val="22"/>
          <w:lang w:val="sk-SK"/>
        </w:rPr>
        <w:t xml:space="preserve"> </w:t>
      </w:r>
    </w:p>
    <w:p w14:paraId="75F0DA29" w14:textId="77777777" w:rsidR="00C44A15" w:rsidRPr="002D543C" w:rsidRDefault="00C44A15" w:rsidP="00200C4A">
      <w:pPr>
        <w:rPr>
          <w:rFonts w:ascii="Cambria" w:hAnsi="Cambria"/>
          <w:sz w:val="22"/>
          <w:szCs w:val="22"/>
          <w:lang w:val="sk-SK"/>
        </w:rPr>
      </w:pPr>
    </w:p>
    <w:p w14:paraId="3FB7506E" w14:textId="77777777" w:rsidR="00BE76E8" w:rsidRDefault="00BE76E8" w:rsidP="00BE76E8">
      <w:pPr>
        <w:rPr>
          <w:rFonts w:ascii="Cambria" w:hAnsi="Cambria"/>
          <w:sz w:val="22"/>
          <w:szCs w:val="22"/>
          <w:lang w:val="sk-SK"/>
        </w:rPr>
      </w:pPr>
      <w:r w:rsidRPr="00BE76E8">
        <w:rPr>
          <w:rFonts w:ascii="Cambria" w:hAnsi="Cambria"/>
          <w:sz w:val="22"/>
          <w:szCs w:val="22"/>
          <w:lang w:val="sk-SK"/>
        </w:rPr>
        <w:t>Ing. Jaroslav Mikla</w:t>
      </w:r>
    </w:p>
    <w:p w14:paraId="4B40574A" w14:textId="5FEB484F" w:rsidR="00BE76E8" w:rsidRPr="00BE76E8" w:rsidRDefault="00BE76E8" w:rsidP="00BE76E8">
      <w:pPr>
        <w:rPr>
          <w:rFonts w:ascii="Cambria" w:hAnsi="Cambria"/>
          <w:sz w:val="22"/>
          <w:szCs w:val="22"/>
          <w:lang w:val="sk-SK"/>
        </w:rPr>
      </w:pPr>
      <w:r>
        <w:rPr>
          <w:rFonts w:ascii="Cambria" w:hAnsi="Cambria"/>
          <w:sz w:val="22"/>
          <w:szCs w:val="22"/>
          <w:lang w:val="sk-SK"/>
        </w:rPr>
        <w:t>V</w:t>
      </w:r>
      <w:r w:rsidRPr="00BE76E8">
        <w:rPr>
          <w:rFonts w:ascii="Cambria" w:hAnsi="Cambria"/>
          <w:sz w:val="22"/>
          <w:szCs w:val="22"/>
          <w:lang w:val="sk-SK"/>
        </w:rPr>
        <w:t>ýkonný riaditeľ úseku finančného riadenia a informačných technológií,</w:t>
      </w:r>
    </w:p>
    <w:p w14:paraId="1E6854B9" w14:textId="4BB13DAE" w:rsidR="007D63B5" w:rsidRDefault="00BE76E8" w:rsidP="00BE76E8">
      <w:pPr>
        <w:rPr>
          <w:rFonts w:ascii="Cambria" w:hAnsi="Cambria"/>
          <w:sz w:val="22"/>
          <w:szCs w:val="22"/>
          <w:lang w:val="sk-SK"/>
        </w:rPr>
      </w:pPr>
      <w:r w:rsidRPr="00BE76E8">
        <w:rPr>
          <w:rFonts w:ascii="Cambria" w:hAnsi="Cambria"/>
          <w:sz w:val="22"/>
          <w:szCs w:val="22"/>
          <w:lang w:val="sk-SK"/>
        </w:rPr>
        <w:t>dočasne poverený riadením úseku hospodárskych služieb a</w:t>
      </w:r>
      <w:r w:rsidR="00AF1144">
        <w:rPr>
          <w:rFonts w:ascii="Cambria" w:hAnsi="Cambria"/>
          <w:sz w:val="22"/>
          <w:szCs w:val="22"/>
          <w:lang w:val="sk-SK"/>
        </w:rPr>
        <w:t> </w:t>
      </w:r>
      <w:r w:rsidRPr="00BE76E8">
        <w:rPr>
          <w:rFonts w:ascii="Cambria" w:hAnsi="Cambria"/>
          <w:sz w:val="22"/>
          <w:szCs w:val="22"/>
          <w:lang w:val="sk-SK"/>
        </w:rPr>
        <w:t>bezpečnosti</w:t>
      </w:r>
    </w:p>
    <w:p w14:paraId="41B889DA" w14:textId="69982209" w:rsidR="00AF1144" w:rsidRDefault="00AF1144" w:rsidP="00BE76E8">
      <w:pPr>
        <w:rPr>
          <w:rFonts w:ascii="Cambria" w:hAnsi="Cambria"/>
          <w:sz w:val="22"/>
          <w:szCs w:val="22"/>
          <w:lang w:val="sk-SK"/>
        </w:rPr>
      </w:pPr>
    </w:p>
    <w:p w14:paraId="0C5EADB5" w14:textId="77777777" w:rsidR="00AF1144" w:rsidRPr="00AE16F4" w:rsidRDefault="00AF1144" w:rsidP="00BE76E8">
      <w:pPr>
        <w:rPr>
          <w:rFonts w:ascii="Cambria" w:hAnsi="Cambria"/>
          <w:sz w:val="22"/>
          <w:szCs w:val="22"/>
          <w:lang w:val="sk-SK"/>
        </w:rPr>
      </w:pPr>
    </w:p>
    <w:sectPr w:rsidR="00AF1144" w:rsidRPr="00AE16F4" w:rsidSect="00200C4A">
      <w:headerReference w:type="default" r:id="rId10"/>
      <w:footerReference w:type="even"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D563F" w14:textId="77777777" w:rsidR="00DA2A39" w:rsidRDefault="00DA2A39">
      <w:r>
        <w:separator/>
      </w:r>
    </w:p>
  </w:endnote>
  <w:endnote w:type="continuationSeparator" w:id="0">
    <w:p w14:paraId="495263CA" w14:textId="77777777" w:rsidR="00DA2A39" w:rsidRDefault="00DA2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6643D" w14:textId="77777777" w:rsidR="00192754" w:rsidRDefault="00192754" w:rsidP="00BD74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0D3D">
      <w:rPr>
        <w:rStyle w:val="PageNumber"/>
        <w:noProof/>
      </w:rPr>
      <w:t>2</w:t>
    </w:r>
    <w:r>
      <w:rPr>
        <w:rStyle w:val="PageNumber"/>
      </w:rPr>
      <w:fldChar w:fldCharType="end"/>
    </w:r>
  </w:p>
  <w:p w14:paraId="15C04D35" w14:textId="77777777" w:rsidR="00192754" w:rsidRDefault="00192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475E0" w14:textId="77777777" w:rsidR="00E80FBB" w:rsidRDefault="00E80FBB">
    <w:pPr>
      <w:pStyle w:val="Footer"/>
      <w:jc w:val="center"/>
    </w:pPr>
    <w:r>
      <w:fldChar w:fldCharType="begin"/>
    </w:r>
    <w:r>
      <w:instrText xml:space="preserve"> PAGE   \* MERGEFORMAT </w:instrText>
    </w:r>
    <w:r>
      <w:fldChar w:fldCharType="separate"/>
    </w:r>
    <w:r w:rsidR="0085010A">
      <w:rPr>
        <w:noProof/>
      </w:rPr>
      <w:t>2</w:t>
    </w:r>
    <w:r>
      <w:rPr>
        <w:noProof/>
      </w:rPr>
      <w:fldChar w:fldCharType="end"/>
    </w:r>
  </w:p>
  <w:p w14:paraId="45EAC8A0" w14:textId="77777777" w:rsidR="00E80FBB" w:rsidRDefault="00E80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8CEF7" w14:textId="77777777" w:rsidR="00DA2A39" w:rsidRDefault="00DA2A39">
      <w:r>
        <w:separator/>
      </w:r>
    </w:p>
  </w:footnote>
  <w:footnote w:type="continuationSeparator" w:id="0">
    <w:p w14:paraId="1D469B8A" w14:textId="77777777" w:rsidR="00DA2A39" w:rsidRDefault="00DA2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DCFFD" w14:textId="77777777" w:rsidR="001F5567" w:rsidRDefault="001F5567" w:rsidP="001F556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F3BFE" w14:textId="77777777" w:rsidR="00EE0D3D" w:rsidRDefault="004E391F" w:rsidP="00F34EED">
    <w:pPr>
      <w:pStyle w:val="Header"/>
      <w:jc w:val="center"/>
    </w:pPr>
    <w:r>
      <w:rPr>
        <w:noProof/>
        <w:lang w:val="sk-SK" w:eastAsia="sk-SK"/>
      </w:rPr>
      <w:drawing>
        <wp:inline distT="0" distB="0" distL="0" distR="0" wp14:anchorId="4079119D" wp14:editId="7FA586AD">
          <wp:extent cx="1803400" cy="712470"/>
          <wp:effectExtent l="0" t="0" r="6350" b="0"/>
          <wp:docPr id="4" name="Picture 4" descr="K:\DIZAJN MANUÁL NBS_SCHVÁLENÝ_2019\Základný Dizajn manuál NBS_FINAL_2018\LOGOTYP\01 - SK\01 - w EUROSYSTEM\01- BLUE\02 - RGB\PNG\LOGO-NBS-EUROSYSTEM-SK-A-BLUE-RGB.png"/>
          <wp:cNvGraphicFramePr/>
          <a:graphic xmlns:a="http://schemas.openxmlformats.org/drawingml/2006/main">
            <a:graphicData uri="http://schemas.openxmlformats.org/drawingml/2006/picture">
              <pic:pic xmlns:pic="http://schemas.openxmlformats.org/drawingml/2006/picture">
                <pic:nvPicPr>
                  <pic:cNvPr id="4" name="Picture 4" descr="K:\DIZAJN MANUÁL NBS_SCHVÁLENÝ_2019\Základný Dizajn manuál NBS_FINAL_2018\LOGOTYP\01 - SK\01 - w EUROSYSTEM\01- BLUE\02 - RGB\PNG\LOGO-NBS-EUROSYSTEM-SK-A-BLUE-RGB.png"/>
                  <pic:cNvPicPr/>
                </pic:nvPicPr>
                <pic:blipFill rotWithShape="1">
                  <a:blip r:embed="rId1" cstate="print">
                    <a:extLst>
                      <a:ext uri="{28A0092B-C50C-407E-A947-70E740481C1C}">
                        <a14:useLocalDpi xmlns:a14="http://schemas.microsoft.com/office/drawing/2010/main" val="0"/>
                      </a:ext>
                    </a:extLst>
                  </a:blip>
                  <a:srcRect l="4298" t="10265" r="5407" b="9487"/>
                  <a:stretch/>
                </pic:blipFill>
                <pic:spPr bwMode="auto">
                  <a:xfrm>
                    <a:off x="0" y="0"/>
                    <a:ext cx="1803400" cy="71247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64CD7"/>
    <w:multiLevelType w:val="hybridMultilevel"/>
    <w:tmpl w:val="11B6B7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956B98"/>
    <w:multiLevelType w:val="hybridMultilevel"/>
    <w:tmpl w:val="01B00FFA"/>
    <w:lvl w:ilvl="0" w:tplc="7BF03650">
      <w:start w:val="7"/>
      <w:numFmt w:val="bullet"/>
      <w:lvlText w:val="-"/>
      <w:lvlJc w:val="left"/>
      <w:pPr>
        <w:ind w:left="644" w:hanging="360"/>
      </w:pPr>
      <w:rPr>
        <w:rFonts w:ascii="Calibri" w:eastAsia="Calibri" w:hAnsi="Calibri"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 w15:restartNumberingAfterBreak="0">
    <w:nsid w:val="39A663C0"/>
    <w:multiLevelType w:val="multilevel"/>
    <w:tmpl w:val="3196C390"/>
    <w:lvl w:ilvl="0">
      <w:start w:val="1"/>
      <w:numFmt w:val="decimal"/>
      <w:lvlText w:val="%1"/>
      <w:lvlJc w:val="left"/>
      <w:pPr>
        <w:tabs>
          <w:tab w:val="num" w:pos="972"/>
        </w:tabs>
        <w:ind w:left="972" w:hanging="432"/>
      </w:pPr>
      <w:rPr>
        <w:sz w:val="20"/>
        <w:szCs w:val="20"/>
      </w:rPr>
    </w:lvl>
    <w:lvl w:ilvl="1">
      <w:start w:val="1"/>
      <w:numFmt w:val="decimal"/>
      <w:lvlText w:val="%1.%2"/>
      <w:lvlJc w:val="left"/>
      <w:pPr>
        <w:tabs>
          <w:tab w:val="num" w:pos="576"/>
        </w:tabs>
        <w:ind w:left="576" w:hanging="576"/>
      </w:pPr>
      <w:rPr>
        <w:rFonts w:ascii="Arial Narrow" w:hAnsi="Arial Narrow" w:hint="default"/>
        <w:b w:val="0"/>
        <w:bCs w:val="0"/>
        <w:i w:val="0"/>
        <w:iCs w:val="0"/>
        <w:color w:val="auto"/>
        <w:sz w:val="20"/>
        <w:szCs w:val="20"/>
      </w:rPr>
    </w:lvl>
    <w:lvl w:ilvl="2">
      <w:start w:val="1"/>
      <w:numFmt w:val="decimal"/>
      <w:lvlText w:val="%1.%2.%3"/>
      <w:lvlJc w:val="left"/>
      <w:pPr>
        <w:tabs>
          <w:tab w:val="num" w:pos="1260"/>
        </w:tabs>
        <w:ind w:left="1260" w:hanging="720"/>
      </w:pPr>
      <w:rPr>
        <w:rFonts w:ascii="Arial Narrow" w:hAnsi="Arial Narrow" w:cs="Arial Narrow" w:hint="default"/>
        <w:b w:val="0"/>
        <w:i w:val="0"/>
        <w:iCs w:val="0"/>
        <w:color w:val="auto"/>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4FE250E0"/>
    <w:multiLevelType w:val="hybridMultilevel"/>
    <w:tmpl w:val="12521BE6"/>
    <w:lvl w:ilvl="0" w:tplc="E2E2B3B8">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15:restartNumberingAfterBreak="0">
    <w:nsid w:val="6021166E"/>
    <w:multiLevelType w:val="hybridMultilevel"/>
    <w:tmpl w:val="CBBEEECC"/>
    <w:lvl w:ilvl="0" w:tplc="3C6456D6">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9DC32DB"/>
    <w:multiLevelType w:val="hybridMultilevel"/>
    <w:tmpl w:val="ACB8B1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E02"/>
    <w:rsid w:val="00011566"/>
    <w:rsid w:val="000121BB"/>
    <w:rsid w:val="00015556"/>
    <w:rsid w:val="00030550"/>
    <w:rsid w:val="00032F59"/>
    <w:rsid w:val="00045091"/>
    <w:rsid w:val="00050FBB"/>
    <w:rsid w:val="00052C3E"/>
    <w:rsid w:val="00052C97"/>
    <w:rsid w:val="000558D5"/>
    <w:rsid w:val="00055F69"/>
    <w:rsid w:val="0008478A"/>
    <w:rsid w:val="00085C6E"/>
    <w:rsid w:val="00086A04"/>
    <w:rsid w:val="00087925"/>
    <w:rsid w:val="000A4DB3"/>
    <w:rsid w:val="000A6C16"/>
    <w:rsid w:val="000B2D66"/>
    <w:rsid w:val="000B3281"/>
    <w:rsid w:val="000C54E5"/>
    <w:rsid w:val="000C56EA"/>
    <w:rsid w:val="000C602C"/>
    <w:rsid w:val="000D6E7E"/>
    <w:rsid w:val="000D7A51"/>
    <w:rsid w:val="000E3C30"/>
    <w:rsid w:val="000F00E7"/>
    <w:rsid w:val="001129A5"/>
    <w:rsid w:val="00125FC1"/>
    <w:rsid w:val="00136858"/>
    <w:rsid w:val="0014055F"/>
    <w:rsid w:val="00150181"/>
    <w:rsid w:val="0015182D"/>
    <w:rsid w:val="00152DBE"/>
    <w:rsid w:val="00192754"/>
    <w:rsid w:val="001A03F4"/>
    <w:rsid w:val="001B469A"/>
    <w:rsid w:val="001E06B9"/>
    <w:rsid w:val="001E2E02"/>
    <w:rsid w:val="001F48BE"/>
    <w:rsid w:val="001F5339"/>
    <w:rsid w:val="001F5567"/>
    <w:rsid w:val="00200C4A"/>
    <w:rsid w:val="00224A7B"/>
    <w:rsid w:val="0023210A"/>
    <w:rsid w:val="0025232E"/>
    <w:rsid w:val="00253DAC"/>
    <w:rsid w:val="002712F0"/>
    <w:rsid w:val="00277A53"/>
    <w:rsid w:val="002838B5"/>
    <w:rsid w:val="0028799D"/>
    <w:rsid w:val="002909ED"/>
    <w:rsid w:val="00294EBE"/>
    <w:rsid w:val="002978A1"/>
    <w:rsid w:val="002A188A"/>
    <w:rsid w:val="002C416E"/>
    <w:rsid w:val="002C562C"/>
    <w:rsid w:val="002C77F2"/>
    <w:rsid w:val="002D101D"/>
    <w:rsid w:val="002D543C"/>
    <w:rsid w:val="002E3524"/>
    <w:rsid w:val="003036AC"/>
    <w:rsid w:val="00307026"/>
    <w:rsid w:val="00342B56"/>
    <w:rsid w:val="00344EB6"/>
    <w:rsid w:val="00366246"/>
    <w:rsid w:val="0036766B"/>
    <w:rsid w:val="00382FFB"/>
    <w:rsid w:val="00392BA6"/>
    <w:rsid w:val="00395FAF"/>
    <w:rsid w:val="003A0C09"/>
    <w:rsid w:val="003A34ED"/>
    <w:rsid w:val="003B0800"/>
    <w:rsid w:val="003B5A48"/>
    <w:rsid w:val="003C099F"/>
    <w:rsid w:val="003D06D1"/>
    <w:rsid w:val="003D4383"/>
    <w:rsid w:val="003D55C0"/>
    <w:rsid w:val="003F00ED"/>
    <w:rsid w:val="003F5E9A"/>
    <w:rsid w:val="003F6DDC"/>
    <w:rsid w:val="00424A9C"/>
    <w:rsid w:val="00431E57"/>
    <w:rsid w:val="004500E0"/>
    <w:rsid w:val="0046603D"/>
    <w:rsid w:val="004740CC"/>
    <w:rsid w:val="00476A66"/>
    <w:rsid w:val="004820EC"/>
    <w:rsid w:val="004865D1"/>
    <w:rsid w:val="00496562"/>
    <w:rsid w:val="004B6C8C"/>
    <w:rsid w:val="004C0A3A"/>
    <w:rsid w:val="004C6FA7"/>
    <w:rsid w:val="004D339A"/>
    <w:rsid w:val="004E391F"/>
    <w:rsid w:val="004E5B97"/>
    <w:rsid w:val="004F45F6"/>
    <w:rsid w:val="004F53F6"/>
    <w:rsid w:val="00513587"/>
    <w:rsid w:val="00517A96"/>
    <w:rsid w:val="00526F7D"/>
    <w:rsid w:val="00527AC3"/>
    <w:rsid w:val="00532E06"/>
    <w:rsid w:val="00534C5B"/>
    <w:rsid w:val="005522F4"/>
    <w:rsid w:val="005845D2"/>
    <w:rsid w:val="0059338A"/>
    <w:rsid w:val="00595033"/>
    <w:rsid w:val="005A7A01"/>
    <w:rsid w:val="005A7CD1"/>
    <w:rsid w:val="005B04A5"/>
    <w:rsid w:val="005B4828"/>
    <w:rsid w:val="005B701D"/>
    <w:rsid w:val="005C7669"/>
    <w:rsid w:val="005C7895"/>
    <w:rsid w:val="005D1D63"/>
    <w:rsid w:val="005E0F94"/>
    <w:rsid w:val="005E2E7E"/>
    <w:rsid w:val="005E3440"/>
    <w:rsid w:val="005F4847"/>
    <w:rsid w:val="005F5601"/>
    <w:rsid w:val="00605D22"/>
    <w:rsid w:val="00606CF8"/>
    <w:rsid w:val="00607B3B"/>
    <w:rsid w:val="006107B1"/>
    <w:rsid w:val="00630F93"/>
    <w:rsid w:val="00632AD2"/>
    <w:rsid w:val="00637EBC"/>
    <w:rsid w:val="00650815"/>
    <w:rsid w:val="00682367"/>
    <w:rsid w:val="00692356"/>
    <w:rsid w:val="006B433A"/>
    <w:rsid w:val="006C7123"/>
    <w:rsid w:val="006D520C"/>
    <w:rsid w:val="006D75DC"/>
    <w:rsid w:val="006E6AB0"/>
    <w:rsid w:val="006F30AB"/>
    <w:rsid w:val="006F3DC6"/>
    <w:rsid w:val="00711B9E"/>
    <w:rsid w:val="007143C1"/>
    <w:rsid w:val="0073205E"/>
    <w:rsid w:val="00733B71"/>
    <w:rsid w:val="00734CCE"/>
    <w:rsid w:val="00745BDF"/>
    <w:rsid w:val="0075503B"/>
    <w:rsid w:val="0075713B"/>
    <w:rsid w:val="00763560"/>
    <w:rsid w:val="00765E5E"/>
    <w:rsid w:val="007705FF"/>
    <w:rsid w:val="0078084F"/>
    <w:rsid w:val="00783B18"/>
    <w:rsid w:val="00786304"/>
    <w:rsid w:val="007A1C11"/>
    <w:rsid w:val="007A4F10"/>
    <w:rsid w:val="007C064A"/>
    <w:rsid w:val="007D0886"/>
    <w:rsid w:val="007D63B5"/>
    <w:rsid w:val="007D7C0B"/>
    <w:rsid w:val="007F0455"/>
    <w:rsid w:val="0080701A"/>
    <w:rsid w:val="008143BE"/>
    <w:rsid w:val="00816F8E"/>
    <w:rsid w:val="008378F6"/>
    <w:rsid w:val="008407AE"/>
    <w:rsid w:val="0085010A"/>
    <w:rsid w:val="00856BD7"/>
    <w:rsid w:val="008653A8"/>
    <w:rsid w:val="008662A3"/>
    <w:rsid w:val="00866570"/>
    <w:rsid w:val="008761BA"/>
    <w:rsid w:val="00891BCE"/>
    <w:rsid w:val="008B34EF"/>
    <w:rsid w:val="008C01B9"/>
    <w:rsid w:val="008D6ECF"/>
    <w:rsid w:val="0090793B"/>
    <w:rsid w:val="009134B0"/>
    <w:rsid w:val="00921161"/>
    <w:rsid w:val="00921B13"/>
    <w:rsid w:val="00923673"/>
    <w:rsid w:val="009462ED"/>
    <w:rsid w:val="00950463"/>
    <w:rsid w:val="00981F06"/>
    <w:rsid w:val="009A55DD"/>
    <w:rsid w:val="009B1CA2"/>
    <w:rsid w:val="009F0EE6"/>
    <w:rsid w:val="009F6293"/>
    <w:rsid w:val="00A05500"/>
    <w:rsid w:val="00A05A30"/>
    <w:rsid w:val="00A24146"/>
    <w:rsid w:val="00A256DC"/>
    <w:rsid w:val="00A344E3"/>
    <w:rsid w:val="00A4059C"/>
    <w:rsid w:val="00A448B6"/>
    <w:rsid w:val="00A45304"/>
    <w:rsid w:val="00A55FBF"/>
    <w:rsid w:val="00A62D35"/>
    <w:rsid w:val="00A636C6"/>
    <w:rsid w:val="00A75FED"/>
    <w:rsid w:val="00A770C6"/>
    <w:rsid w:val="00A87068"/>
    <w:rsid w:val="00A96C55"/>
    <w:rsid w:val="00AC1148"/>
    <w:rsid w:val="00AC450A"/>
    <w:rsid w:val="00AD26E4"/>
    <w:rsid w:val="00AD7FB8"/>
    <w:rsid w:val="00AE16F4"/>
    <w:rsid w:val="00AF1144"/>
    <w:rsid w:val="00AF5FE7"/>
    <w:rsid w:val="00B00D0A"/>
    <w:rsid w:val="00B060A4"/>
    <w:rsid w:val="00B23E2A"/>
    <w:rsid w:val="00B36B47"/>
    <w:rsid w:val="00B36E02"/>
    <w:rsid w:val="00B55BF0"/>
    <w:rsid w:val="00B66DB9"/>
    <w:rsid w:val="00B67CAC"/>
    <w:rsid w:val="00B82AD9"/>
    <w:rsid w:val="00B83132"/>
    <w:rsid w:val="00B93B06"/>
    <w:rsid w:val="00BA092D"/>
    <w:rsid w:val="00BA37F3"/>
    <w:rsid w:val="00BA5EA6"/>
    <w:rsid w:val="00BB66B1"/>
    <w:rsid w:val="00BB6B29"/>
    <w:rsid w:val="00BB7E54"/>
    <w:rsid w:val="00BC2726"/>
    <w:rsid w:val="00BD74A3"/>
    <w:rsid w:val="00BD7C84"/>
    <w:rsid w:val="00BE76E8"/>
    <w:rsid w:val="00BF61F5"/>
    <w:rsid w:val="00C01453"/>
    <w:rsid w:val="00C107CF"/>
    <w:rsid w:val="00C17AFE"/>
    <w:rsid w:val="00C27BEC"/>
    <w:rsid w:val="00C27ECF"/>
    <w:rsid w:val="00C44A15"/>
    <w:rsid w:val="00C47394"/>
    <w:rsid w:val="00C64B17"/>
    <w:rsid w:val="00C70AFE"/>
    <w:rsid w:val="00C71695"/>
    <w:rsid w:val="00C80C0F"/>
    <w:rsid w:val="00C834C2"/>
    <w:rsid w:val="00C86B35"/>
    <w:rsid w:val="00C87B3E"/>
    <w:rsid w:val="00C91A45"/>
    <w:rsid w:val="00CA0DDA"/>
    <w:rsid w:val="00CC4C93"/>
    <w:rsid w:val="00CC6FF4"/>
    <w:rsid w:val="00CF2F80"/>
    <w:rsid w:val="00D04671"/>
    <w:rsid w:val="00D22C9A"/>
    <w:rsid w:val="00D37B19"/>
    <w:rsid w:val="00D61284"/>
    <w:rsid w:val="00D6449D"/>
    <w:rsid w:val="00D66DB0"/>
    <w:rsid w:val="00D82D6B"/>
    <w:rsid w:val="00D94A6F"/>
    <w:rsid w:val="00DA2A39"/>
    <w:rsid w:val="00DA45EC"/>
    <w:rsid w:val="00DD5E91"/>
    <w:rsid w:val="00DF0328"/>
    <w:rsid w:val="00DF246F"/>
    <w:rsid w:val="00DF54FC"/>
    <w:rsid w:val="00E0494E"/>
    <w:rsid w:val="00E10433"/>
    <w:rsid w:val="00E11129"/>
    <w:rsid w:val="00E113A2"/>
    <w:rsid w:val="00E12149"/>
    <w:rsid w:val="00E22DC1"/>
    <w:rsid w:val="00E3020F"/>
    <w:rsid w:val="00E4172C"/>
    <w:rsid w:val="00E44B30"/>
    <w:rsid w:val="00E50AD2"/>
    <w:rsid w:val="00E6446D"/>
    <w:rsid w:val="00E647F1"/>
    <w:rsid w:val="00E75932"/>
    <w:rsid w:val="00E80FBB"/>
    <w:rsid w:val="00E86E62"/>
    <w:rsid w:val="00E976AC"/>
    <w:rsid w:val="00EA6F3B"/>
    <w:rsid w:val="00EB7CDD"/>
    <w:rsid w:val="00EC42D7"/>
    <w:rsid w:val="00EE0D3D"/>
    <w:rsid w:val="00EE29DA"/>
    <w:rsid w:val="00EE6EFA"/>
    <w:rsid w:val="00F0117C"/>
    <w:rsid w:val="00F02071"/>
    <w:rsid w:val="00F054B4"/>
    <w:rsid w:val="00F17FF8"/>
    <w:rsid w:val="00F22B12"/>
    <w:rsid w:val="00F24726"/>
    <w:rsid w:val="00F251C0"/>
    <w:rsid w:val="00F27541"/>
    <w:rsid w:val="00F34EED"/>
    <w:rsid w:val="00F3571C"/>
    <w:rsid w:val="00F37AB1"/>
    <w:rsid w:val="00F65D06"/>
    <w:rsid w:val="00F66D5F"/>
    <w:rsid w:val="00F92C48"/>
    <w:rsid w:val="00F95786"/>
    <w:rsid w:val="00FB733B"/>
    <w:rsid w:val="00FB7831"/>
    <w:rsid w:val="00FC0A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479C66"/>
  <w15:chartTrackingRefBased/>
  <w15:docId w15:val="{180A743D-730C-4B21-A763-86C777AD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43BE"/>
    <w:rPr>
      <w:sz w:val="24"/>
      <w:szCs w:val="24"/>
      <w:lang w:val="en-US" w:eastAsia="en-US"/>
    </w:rPr>
  </w:style>
  <w:style w:type="paragraph" w:styleId="Heading1">
    <w:name w:val="heading 1"/>
    <w:basedOn w:val="Normal"/>
    <w:next w:val="Normal"/>
    <w:link w:val="Heading1Char"/>
    <w:qFormat/>
    <w:rsid w:val="00F34E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2,2m"/>
    <w:basedOn w:val="Normal"/>
    <w:next w:val="Normal"/>
    <w:qFormat/>
    <w:pPr>
      <w:keepNext/>
      <w:spacing w:before="480" w:after="300"/>
      <w:jc w:val="center"/>
      <w:outlineLvl w:val="1"/>
    </w:pPr>
    <w:rPr>
      <w:rFonts w:ascii="Arial" w:hAnsi="Arial" w:cs="Arial"/>
      <w:b/>
      <w:bCs/>
      <w:iCs/>
      <w:sz w:val="28"/>
      <w:szCs w:val="28"/>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spacing w:after="120"/>
      <w:ind w:left="283"/>
    </w:pPr>
    <w:rPr>
      <w:sz w:val="16"/>
      <w:szCs w:val="16"/>
    </w:rPr>
  </w:style>
  <w:style w:type="paragraph" w:styleId="Header">
    <w:name w:val="header"/>
    <w:basedOn w:val="Normal"/>
    <w:link w:val="HeaderChar"/>
    <w:uiPriority w:val="99"/>
    <w:rsid w:val="004E5B97"/>
    <w:pPr>
      <w:tabs>
        <w:tab w:val="center" w:pos="4536"/>
        <w:tab w:val="right" w:pos="9072"/>
      </w:tabs>
    </w:pPr>
  </w:style>
  <w:style w:type="paragraph" w:styleId="Footer">
    <w:name w:val="footer"/>
    <w:basedOn w:val="Normal"/>
    <w:link w:val="FooterChar"/>
    <w:uiPriority w:val="99"/>
    <w:rsid w:val="004E5B97"/>
    <w:pPr>
      <w:tabs>
        <w:tab w:val="center" w:pos="4536"/>
        <w:tab w:val="right" w:pos="9072"/>
      </w:tabs>
    </w:pPr>
  </w:style>
  <w:style w:type="character" w:styleId="PageNumber">
    <w:name w:val="page number"/>
    <w:basedOn w:val="DefaultParagraphFont"/>
    <w:rsid w:val="00192754"/>
  </w:style>
  <w:style w:type="paragraph" w:styleId="PlainText">
    <w:name w:val="Plain Text"/>
    <w:basedOn w:val="Normal"/>
    <w:rsid w:val="000C56EA"/>
    <w:rPr>
      <w:rFonts w:ascii="Courier New" w:hAnsi="Courier New" w:cs="Courier New"/>
      <w:sz w:val="20"/>
      <w:szCs w:val="20"/>
      <w:lang w:val="sk-SK" w:eastAsia="cs-CZ"/>
    </w:rPr>
  </w:style>
  <w:style w:type="paragraph" w:styleId="BodyText">
    <w:name w:val="Body Text"/>
    <w:basedOn w:val="Normal"/>
    <w:link w:val="BodyTextChar"/>
    <w:rsid w:val="00015556"/>
    <w:pPr>
      <w:spacing w:after="120"/>
    </w:pPr>
  </w:style>
  <w:style w:type="character" w:customStyle="1" w:styleId="BodyTextChar">
    <w:name w:val="Body Text Char"/>
    <w:link w:val="BodyText"/>
    <w:rsid w:val="00015556"/>
    <w:rPr>
      <w:sz w:val="24"/>
      <w:szCs w:val="24"/>
      <w:lang w:val="en-US" w:eastAsia="en-US"/>
    </w:rPr>
  </w:style>
  <w:style w:type="character" w:customStyle="1" w:styleId="HeaderChar">
    <w:name w:val="Header Char"/>
    <w:link w:val="Header"/>
    <w:uiPriority w:val="99"/>
    <w:locked/>
    <w:rsid w:val="00015556"/>
    <w:rPr>
      <w:sz w:val="24"/>
      <w:szCs w:val="24"/>
      <w:lang w:val="en-US" w:eastAsia="en-US"/>
    </w:rPr>
  </w:style>
  <w:style w:type="paragraph" w:styleId="Subtitle">
    <w:name w:val="Subtitle"/>
    <w:basedOn w:val="Normal"/>
    <w:link w:val="SubtitleChar"/>
    <w:qFormat/>
    <w:rsid w:val="00015556"/>
    <w:pPr>
      <w:jc w:val="center"/>
    </w:pPr>
    <w:rPr>
      <w:rFonts w:ascii="Arial" w:hAnsi="Arial" w:cs="Arial"/>
      <w:b/>
      <w:bCs/>
      <w:lang w:val="sk-SK" w:eastAsia="sk-SK"/>
    </w:rPr>
  </w:style>
  <w:style w:type="character" w:customStyle="1" w:styleId="SubtitleChar">
    <w:name w:val="Subtitle Char"/>
    <w:link w:val="Subtitle"/>
    <w:rsid w:val="00015556"/>
    <w:rPr>
      <w:rFonts w:ascii="Arial" w:hAnsi="Arial" w:cs="Arial"/>
      <w:b/>
      <w:bCs/>
      <w:sz w:val="24"/>
      <w:szCs w:val="24"/>
    </w:rPr>
  </w:style>
  <w:style w:type="paragraph" w:customStyle="1" w:styleId="weeklies">
    <w:name w:val="weeklies"/>
    <w:basedOn w:val="Normal"/>
    <w:next w:val="Normal"/>
    <w:uiPriority w:val="99"/>
    <w:rsid w:val="00015556"/>
    <w:pPr>
      <w:overflowPunct w:val="0"/>
      <w:autoSpaceDE w:val="0"/>
      <w:autoSpaceDN w:val="0"/>
      <w:adjustRightInd w:val="0"/>
      <w:jc w:val="both"/>
      <w:textAlignment w:val="baseline"/>
    </w:pPr>
    <w:rPr>
      <w:rFonts w:ascii="Arial" w:hAnsi="Arial" w:cs="Arial"/>
    </w:rPr>
  </w:style>
  <w:style w:type="paragraph" w:customStyle="1" w:styleId="normalL2">
    <w:name w:val="normal L2"/>
    <w:basedOn w:val="Normal"/>
    <w:autoRedefine/>
    <w:rsid w:val="00015556"/>
    <w:pPr>
      <w:tabs>
        <w:tab w:val="left" w:pos="360"/>
      </w:tabs>
      <w:spacing w:after="60"/>
      <w:ind w:left="360" w:hanging="360"/>
      <w:jc w:val="both"/>
    </w:pPr>
    <w:rPr>
      <w:rFonts w:ascii="Arial Narrow" w:hAnsi="Arial Narrow" w:cs="Arial"/>
      <w:bCs/>
      <w:sz w:val="20"/>
      <w:szCs w:val="20"/>
      <w:lang w:val="sk-SK" w:eastAsia="sk-SK"/>
    </w:rPr>
  </w:style>
  <w:style w:type="paragraph" w:styleId="BodyText2">
    <w:name w:val="Body Text 2"/>
    <w:basedOn w:val="Normal"/>
    <w:link w:val="BodyText2Char"/>
    <w:rsid w:val="004C0A3A"/>
    <w:pPr>
      <w:spacing w:after="120" w:line="480" w:lineRule="auto"/>
    </w:pPr>
  </w:style>
  <w:style w:type="character" w:customStyle="1" w:styleId="BodyText2Char">
    <w:name w:val="Body Text 2 Char"/>
    <w:link w:val="BodyText2"/>
    <w:rsid w:val="004C0A3A"/>
    <w:rPr>
      <w:sz w:val="24"/>
      <w:szCs w:val="24"/>
      <w:lang w:val="en-US" w:eastAsia="en-US"/>
    </w:rPr>
  </w:style>
  <w:style w:type="paragraph" w:customStyle="1" w:styleId="Style2">
    <w:name w:val="Style2"/>
    <w:basedOn w:val="Normal"/>
    <w:uiPriority w:val="99"/>
    <w:rsid w:val="00D82D6B"/>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val="sk-SK"/>
    </w:rPr>
  </w:style>
  <w:style w:type="paragraph" w:customStyle="1" w:styleId="Odstavecseseznamem">
    <w:name w:val="Odstavec se seznamem"/>
    <w:basedOn w:val="Normal"/>
    <w:uiPriority w:val="99"/>
    <w:qFormat/>
    <w:rsid w:val="00D82D6B"/>
    <w:pPr>
      <w:spacing w:after="200" w:line="276" w:lineRule="auto"/>
      <w:ind w:left="720"/>
      <w:contextualSpacing/>
    </w:pPr>
    <w:rPr>
      <w:rFonts w:ascii="Calibri" w:hAnsi="Calibri"/>
      <w:sz w:val="22"/>
      <w:szCs w:val="22"/>
      <w:lang w:val="sk-SK" w:eastAsia="sk-SK"/>
    </w:rPr>
  </w:style>
  <w:style w:type="paragraph" w:customStyle="1" w:styleId="xl32">
    <w:name w:val="xl32"/>
    <w:basedOn w:val="Normal"/>
    <w:rsid w:val="005522F4"/>
    <w:pPr>
      <w:spacing w:before="100" w:beforeAutospacing="1" w:after="100" w:afterAutospacing="1"/>
      <w:jc w:val="center"/>
    </w:pPr>
    <w:rPr>
      <w:rFonts w:ascii="Arial" w:hAnsi="Arial" w:cs="Arial"/>
      <w:sz w:val="16"/>
      <w:szCs w:val="16"/>
    </w:rPr>
  </w:style>
  <w:style w:type="paragraph" w:customStyle="1" w:styleId="Predmetkomentra1">
    <w:name w:val="Predmet komentára1"/>
    <w:basedOn w:val="CommentText"/>
    <w:next w:val="CommentText"/>
    <w:semiHidden/>
    <w:rsid w:val="00B36E02"/>
    <w:rPr>
      <w:b/>
      <w:bCs/>
      <w:lang w:val="sk-SK" w:eastAsia="sk-SK"/>
    </w:rPr>
  </w:style>
  <w:style w:type="paragraph" w:customStyle="1" w:styleId="Textbubliny1">
    <w:name w:val="Text bubliny1"/>
    <w:basedOn w:val="Normal"/>
    <w:semiHidden/>
    <w:rsid w:val="00B36E02"/>
    <w:rPr>
      <w:rFonts w:ascii="Tahoma" w:hAnsi="Tahoma" w:cs="Tahoma"/>
      <w:sz w:val="16"/>
      <w:szCs w:val="16"/>
      <w:lang w:val="sk-SK" w:eastAsia="sk-SK"/>
    </w:rPr>
  </w:style>
  <w:style w:type="paragraph" w:styleId="CommentText">
    <w:name w:val="annotation text"/>
    <w:basedOn w:val="Normal"/>
    <w:link w:val="CommentTextChar"/>
    <w:rsid w:val="00B36E02"/>
    <w:rPr>
      <w:sz w:val="20"/>
      <w:szCs w:val="20"/>
    </w:rPr>
  </w:style>
  <w:style w:type="character" w:customStyle="1" w:styleId="CommentTextChar">
    <w:name w:val="Comment Text Char"/>
    <w:link w:val="CommentText"/>
    <w:rsid w:val="00B36E02"/>
    <w:rPr>
      <w:lang w:val="en-US" w:eastAsia="en-US"/>
    </w:rPr>
  </w:style>
  <w:style w:type="paragraph" w:styleId="BalloonText">
    <w:name w:val="Balloon Text"/>
    <w:basedOn w:val="Normal"/>
    <w:link w:val="BalloonTextChar"/>
    <w:rsid w:val="00F17FF8"/>
    <w:rPr>
      <w:rFonts w:ascii="Segoe UI" w:hAnsi="Segoe UI" w:cs="Segoe UI"/>
      <w:sz w:val="18"/>
      <w:szCs w:val="18"/>
    </w:rPr>
  </w:style>
  <w:style w:type="character" w:customStyle="1" w:styleId="BalloonTextChar">
    <w:name w:val="Balloon Text Char"/>
    <w:link w:val="BalloonText"/>
    <w:rsid w:val="00F17FF8"/>
    <w:rPr>
      <w:rFonts w:ascii="Segoe UI" w:hAnsi="Segoe UI" w:cs="Segoe UI"/>
      <w:sz w:val="18"/>
      <w:szCs w:val="18"/>
      <w:lang w:val="en-US" w:eastAsia="en-US"/>
    </w:rPr>
  </w:style>
  <w:style w:type="character" w:customStyle="1" w:styleId="FooterChar">
    <w:name w:val="Footer Char"/>
    <w:link w:val="Footer"/>
    <w:uiPriority w:val="99"/>
    <w:rsid w:val="00E80FBB"/>
    <w:rPr>
      <w:sz w:val="24"/>
      <w:szCs w:val="24"/>
      <w:lang w:val="en-US" w:eastAsia="en-US"/>
    </w:rPr>
  </w:style>
  <w:style w:type="paragraph" w:styleId="ListParagraph">
    <w:name w:val="List Paragraph"/>
    <w:basedOn w:val="Normal"/>
    <w:uiPriority w:val="34"/>
    <w:qFormat/>
    <w:rsid w:val="00630F93"/>
    <w:pPr>
      <w:spacing w:after="160" w:line="259" w:lineRule="auto"/>
      <w:ind w:left="720"/>
      <w:contextualSpacing/>
    </w:pPr>
    <w:rPr>
      <w:rFonts w:ascii="Calibri" w:eastAsia="Calibri" w:hAnsi="Calibri"/>
      <w:sz w:val="22"/>
      <w:szCs w:val="22"/>
      <w:lang w:val="sk-SK"/>
    </w:rPr>
  </w:style>
  <w:style w:type="character" w:customStyle="1" w:styleId="Heading1Char">
    <w:name w:val="Heading 1 Char"/>
    <w:basedOn w:val="DefaultParagraphFont"/>
    <w:link w:val="Heading1"/>
    <w:rsid w:val="00F34EED"/>
    <w:rPr>
      <w:rFonts w:asciiTheme="majorHAnsi" w:eastAsiaTheme="majorEastAsia" w:hAnsiTheme="majorHAnsi" w:cstheme="majorBidi"/>
      <w:color w:val="2F5496" w:themeColor="accent1" w:themeShade="BF"/>
      <w:sz w:val="32"/>
      <w:szCs w:val="32"/>
      <w:lang w:val="en-US" w:eastAsia="en-US"/>
    </w:rPr>
  </w:style>
  <w:style w:type="paragraph" w:customStyle="1" w:styleId="text">
    <w:name w:val="text"/>
    <w:basedOn w:val="Normal"/>
    <w:rsid w:val="00F34EED"/>
    <w:pPr>
      <w:overflowPunct w:val="0"/>
      <w:autoSpaceDE w:val="0"/>
      <w:autoSpaceDN w:val="0"/>
      <w:adjustRightInd w:val="0"/>
      <w:spacing w:after="120"/>
      <w:ind w:firstLine="567"/>
      <w:jc w:val="both"/>
    </w:pPr>
    <w:rPr>
      <w:szCs w:val="20"/>
      <w:lang w:val="sk-SK"/>
    </w:rPr>
  </w:style>
  <w:style w:type="paragraph" w:customStyle="1" w:styleId="funkcia">
    <w:name w:val="funkcia"/>
    <w:basedOn w:val="Normal"/>
    <w:rsid w:val="00F34EED"/>
    <w:pPr>
      <w:keepNext/>
      <w:keepLines/>
      <w:spacing w:line="240" w:lineRule="atLeast"/>
      <w:jc w:val="center"/>
    </w:pPr>
    <w:rPr>
      <w:szCs w:val="20"/>
      <w:lang w:val="sk-SK"/>
    </w:rPr>
  </w:style>
  <w:style w:type="table" w:styleId="TableGrid">
    <w:name w:val="Table Grid"/>
    <w:basedOn w:val="TableNormal"/>
    <w:uiPriority w:val="59"/>
    <w:rsid w:val="00F34E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256DC"/>
    <w:rPr>
      <w:sz w:val="16"/>
      <w:szCs w:val="16"/>
    </w:rPr>
  </w:style>
  <w:style w:type="paragraph" w:styleId="CommentSubject">
    <w:name w:val="annotation subject"/>
    <w:basedOn w:val="CommentText"/>
    <w:next w:val="CommentText"/>
    <w:link w:val="CommentSubjectChar"/>
    <w:rsid w:val="00A256DC"/>
    <w:rPr>
      <w:b/>
      <w:bCs/>
    </w:rPr>
  </w:style>
  <w:style w:type="character" w:customStyle="1" w:styleId="CommentSubjectChar">
    <w:name w:val="Comment Subject Char"/>
    <w:basedOn w:val="CommentTextChar"/>
    <w:link w:val="CommentSubject"/>
    <w:rsid w:val="00A256DC"/>
    <w:rPr>
      <w:b/>
      <w:bCs/>
      <w:lang w:val="en-US" w:eastAsia="en-US"/>
    </w:rPr>
  </w:style>
  <w:style w:type="paragraph" w:styleId="Revision">
    <w:name w:val="Revision"/>
    <w:hidden/>
    <w:uiPriority w:val="99"/>
    <w:semiHidden/>
    <w:rsid w:val="0090793B"/>
    <w:rPr>
      <w:sz w:val="24"/>
      <w:szCs w:val="24"/>
      <w:lang w:val="en-US" w:eastAsia="en-US"/>
    </w:rPr>
  </w:style>
  <w:style w:type="character" w:styleId="Hyperlink">
    <w:name w:val="Hyperlink"/>
    <w:basedOn w:val="DefaultParagraphFont"/>
    <w:rsid w:val="009462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97318">
      <w:bodyDiv w:val="1"/>
      <w:marLeft w:val="0"/>
      <w:marRight w:val="0"/>
      <w:marTop w:val="0"/>
      <w:marBottom w:val="0"/>
      <w:divBdr>
        <w:top w:val="none" w:sz="0" w:space="0" w:color="auto"/>
        <w:left w:val="none" w:sz="0" w:space="0" w:color="auto"/>
        <w:bottom w:val="none" w:sz="0" w:space="0" w:color="auto"/>
        <w:right w:val="none" w:sz="0" w:space="0" w:color="auto"/>
      </w:divBdr>
    </w:div>
    <w:div w:id="108621281">
      <w:bodyDiv w:val="1"/>
      <w:marLeft w:val="0"/>
      <w:marRight w:val="0"/>
      <w:marTop w:val="0"/>
      <w:marBottom w:val="0"/>
      <w:divBdr>
        <w:top w:val="none" w:sz="0" w:space="0" w:color="auto"/>
        <w:left w:val="none" w:sz="0" w:space="0" w:color="auto"/>
        <w:bottom w:val="none" w:sz="0" w:space="0" w:color="auto"/>
        <w:right w:val="none" w:sz="0" w:space="0" w:color="auto"/>
      </w:divBdr>
    </w:div>
    <w:div w:id="482429937">
      <w:bodyDiv w:val="1"/>
      <w:marLeft w:val="0"/>
      <w:marRight w:val="0"/>
      <w:marTop w:val="0"/>
      <w:marBottom w:val="0"/>
      <w:divBdr>
        <w:top w:val="none" w:sz="0" w:space="0" w:color="auto"/>
        <w:left w:val="none" w:sz="0" w:space="0" w:color="auto"/>
        <w:bottom w:val="none" w:sz="0" w:space="0" w:color="auto"/>
        <w:right w:val="none" w:sz="0" w:space="0" w:color="auto"/>
      </w:divBdr>
    </w:div>
    <w:div w:id="88541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DAC588A2687CC141AF299131B940332B" ma:contentTypeVersion="" ma:contentTypeDescription="" ma:contentTypeScope="" ma:versionID="9bf75833825cb5a84785c2d9fcd199f5">
  <xsd:schema xmlns:xsd="http://www.w3.org/2001/XMLSchema" xmlns:xs="http://www.w3.org/2001/XMLSchema" xmlns:p="http://schemas.microsoft.com/office/2006/metadata/properties" xmlns:ns1="http://schemas.microsoft.com/sharepoint/v3" xmlns:ns3="0269C28B-7571-48C5-B98D-8C5C89057314" xmlns:ns4="d3853cc4-d128-4a0a-b714-747fdaf64de0" targetNamespace="http://schemas.microsoft.com/office/2006/metadata/properties" ma:root="true" ma:fieldsID="4b84a5aeb4ecc069d2833e8b74360818" ns1:_="" ns3:_="" ns4:_="">
    <xsd:import namespace="http://schemas.microsoft.com/sharepoint/v3"/>
    <xsd:import namespace="0269C28B-7571-48C5-B98D-8C5C89057314"/>
    <xsd:import namespace="d3853cc4-d128-4a0a-b714-747fdaf64de0"/>
    <xsd:element name="properties">
      <xsd:complexType>
        <xsd:sequence>
          <xsd:element name="documentManagement">
            <xsd:complexType>
              <xsd:all>
                <xsd:element ref="ns1:TemplateUrl" minOccurs="0"/>
                <xsd:element ref="ns1:xd_ProgID" minOccurs="0"/>
                <xsd:element ref="ns1:xd_Signature" minOccurs="0"/>
                <xsd:element ref="ns3:Metadata"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9C28B-7571-48C5-B98D-8C5C89057314"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853cc4-d128-4a0a-b714-747fdaf64de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269C28B-7571-48C5-B98D-8C5C8905731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A637B-F10D-4B1E-8EA5-BEB1C791F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69C28B-7571-48C5-B98D-8C5C89057314"/>
    <ds:schemaRef ds:uri="d3853cc4-d128-4a0a-b714-747fdaf64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2C95AE-3D39-41BE-B90B-D01D22802249}">
  <ds:schemaRefs>
    <ds:schemaRef ds:uri="http://schemas.microsoft.com/office/2006/metadata/properties"/>
    <ds:schemaRef ds:uri="http://schemas.microsoft.com/office/infopath/2007/PartnerControls"/>
    <ds:schemaRef ds:uri="http://schemas.microsoft.com/sharepoint/v3"/>
    <ds:schemaRef ds:uri="0269C28B-7571-48C5-B98D-8C5C89057314"/>
  </ds:schemaRefs>
</ds:datastoreItem>
</file>

<file path=customXml/itemProps3.xml><?xml version="1.0" encoding="utf-8"?>
<ds:datastoreItem xmlns:ds="http://schemas.openxmlformats.org/officeDocument/2006/customXml" ds:itemID="{A106E080-0023-41AA-A2CB-5E81823B4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1011</Words>
  <Characters>5769</Characters>
  <Application>Microsoft Office Word</Application>
  <DocSecurity>0</DocSecurity>
  <Lines>48</Lines>
  <Paragraphs>13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Vysvetlenie _SP_1.docx</vt:lpstr>
      <vt:lpstr>Príloha č</vt:lpstr>
    </vt:vector>
  </TitlesOfParts>
  <Company>NBS</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Vysvetlenie _SP_1.docx</dc:title>
  <dc:subject/>
  <dc:creator>Kucera</dc:creator>
  <cp:keywords/>
  <cp:lastModifiedBy>Vladimír</cp:lastModifiedBy>
  <cp:revision>5</cp:revision>
  <cp:lastPrinted>2018-11-19T09:58:00Z</cp:lastPrinted>
  <dcterms:created xsi:type="dcterms:W3CDTF">2021-07-10T03:11:00Z</dcterms:created>
  <dcterms:modified xsi:type="dcterms:W3CDTF">2021-07-10T07:34:00Z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0x010100F5CEA94C78EB42B7A3BD7D634CEE81BF00DAC588A2687CC141AF299131B940332B</vt:lpwstr>
  </property>
</Properties>
</file>