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w:t>
      </w:r>
      <w:proofErr w:type="spellStart"/>
      <w:r w:rsidR="00E46568" w:rsidRPr="00E46568">
        <w:rPr>
          <w:rFonts w:asciiTheme="majorHAnsi" w:hAnsiTheme="majorHAnsi" w:cs="Calibri"/>
          <w:noProof w:val="0"/>
          <w:sz w:val="20"/>
          <w:szCs w:val="20"/>
        </w:rPr>
        <w:t>Data</w:t>
      </w:r>
      <w:proofErr w:type="spellEnd"/>
      <w:r w:rsidR="00E46568" w:rsidRPr="00E46568">
        <w:rPr>
          <w:rFonts w:asciiTheme="majorHAnsi" w:hAnsiTheme="majorHAnsi" w:cs="Calibri"/>
          <w:noProof w:val="0"/>
          <w:sz w:val="20"/>
          <w:szCs w:val="20"/>
        </w:rPr>
        <w:t xml:space="preserve"> </w:t>
      </w:r>
      <w:proofErr w:type="spellStart"/>
      <w:r w:rsidR="00E46568" w:rsidRPr="00E46568">
        <w:rPr>
          <w:rFonts w:asciiTheme="majorHAnsi" w:hAnsiTheme="majorHAnsi" w:cs="Calibri"/>
          <w:noProof w:val="0"/>
          <w:sz w:val="20"/>
          <w:szCs w:val="20"/>
        </w:rPr>
        <w:t>Governance</w:t>
      </w:r>
      <w:proofErr w:type="spellEnd"/>
      <w:r w:rsidR="00E46568" w:rsidRPr="00E46568">
        <w:rPr>
          <w:rFonts w:asciiTheme="majorHAnsi" w:hAnsiTheme="majorHAnsi" w:cs="Calibri"/>
          <w:noProof w:val="0"/>
          <w:sz w:val="20"/>
          <w:szCs w:val="20"/>
        </w:rPr>
        <w:t>)</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w:t>
      </w:r>
      <w:proofErr w:type="spellStart"/>
      <w:r w:rsidR="005431E3" w:rsidRPr="005431E3">
        <w:rPr>
          <w:rFonts w:asciiTheme="majorHAnsi" w:hAnsiTheme="majorHAnsi" w:cs="Calibri"/>
          <w:noProof w:val="0"/>
          <w:sz w:val="20"/>
          <w:szCs w:val="20"/>
        </w:rPr>
        <w:t>Master</w:t>
      </w:r>
      <w:proofErr w:type="spellEnd"/>
      <w:r w:rsidR="005431E3" w:rsidRPr="005431E3">
        <w:rPr>
          <w:rFonts w:asciiTheme="majorHAnsi" w:hAnsiTheme="majorHAnsi" w:cs="Calibri"/>
          <w:noProof w:val="0"/>
          <w:sz w:val="20"/>
          <w:szCs w:val="20"/>
        </w:rPr>
        <w:t xml:space="preserve"> </w:t>
      </w:r>
      <w:proofErr w:type="spellStart"/>
      <w:r w:rsidR="005431E3" w:rsidRPr="005431E3">
        <w:rPr>
          <w:rFonts w:asciiTheme="majorHAnsi" w:hAnsiTheme="majorHAnsi" w:cs="Calibri"/>
          <w:noProof w:val="0"/>
          <w:sz w:val="20"/>
          <w:szCs w:val="20"/>
        </w:rPr>
        <w:t>Data</w:t>
      </w:r>
      <w:proofErr w:type="spellEnd"/>
      <w:r w:rsidR="005431E3" w:rsidRPr="005431E3">
        <w:rPr>
          <w:rFonts w:asciiTheme="majorHAnsi" w:hAnsiTheme="majorHAnsi" w:cs="Calibri"/>
          <w:noProof w:val="0"/>
          <w:sz w:val="20"/>
          <w:szCs w:val="20"/>
        </w:rPr>
        <w:t xml:space="preserve"> Management) a z neho vyplývajúce potrebné organizačné a iné implementačné úpravy a pravidlá pre riadenie dát (</w:t>
      </w:r>
      <w:proofErr w:type="spellStart"/>
      <w:r w:rsidR="005431E3" w:rsidRPr="005431E3">
        <w:rPr>
          <w:rFonts w:asciiTheme="majorHAnsi" w:hAnsiTheme="majorHAnsi" w:cs="Calibri"/>
          <w:noProof w:val="0"/>
          <w:sz w:val="20"/>
          <w:szCs w:val="20"/>
        </w:rPr>
        <w:t>Data</w:t>
      </w:r>
      <w:proofErr w:type="spellEnd"/>
      <w:r w:rsidR="005431E3" w:rsidRPr="005431E3">
        <w:rPr>
          <w:rFonts w:asciiTheme="majorHAnsi" w:hAnsiTheme="majorHAnsi" w:cs="Calibri"/>
          <w:noProof w:val="0"/>
          <w:sz w:val="20"/>
          <w:szCs w:val="20"/>
        </w:rPr>
        <w:t xml:space="preserve"> </w:t>
      </w:r>
      <w:proofErr w:type="spellStart"/>
      <w:r w:rsidR="005431E3" w:rsidRPr="005431E3">
        <w:rPr>
          <w:rFonts w:asciiTheme="majorHAnsi" w:hAnsiTheme="majorHAnsi" w:cs="Calibri"/>
          <w:noProof w:val="0"/>
          <w:sz w:val="20"/>
          <w:szCs w:val="20"/>
        </w:rPr>
        <w:t>Governance</w:t>
      </w:r>
      <w:proofErr w:type="spellEnd"/>
      <w:r w:rsidR="005431E3" w:rsidRPr="005431E3">
        <w:rPr>
          <w:rFonts w:asciiTheme="majorHAnsi" w:hAnsiTheme="majorHAnsi" w:cs="Calibri"/>
          <w:noProof w:val="0"/>
          <w:sz w:val="20"/>
          <w:szCs w:val="20"/>
        </w:rPr>
        <w:t>)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w:t>
      </w:r>
      <w:proofErr w:type="spellStart"/>
      <w:r w:rsidRPr="00D23AE5">
        <w:rPr>
          <w:rFonts w:ascii="Cambria" w:hAnsi="Cambria" w:cs="Calibri"/>
          <w:noProof w:val="0"/>
          <w:sz w:val="20"/>
          <w:szCs w:val="20"/>
        </w:rPr>
        <w:t>recital</w:t>
      </w:r>
      <w:proofErr w:type="spellEnd"/>
      <w:r w:rsidRPr="00D23AE5">
        <w:rPr>
          <w:rFonts w:ascii="Cambria" w:hAnsi="Cambria" w:cs="Calibri"/>
          <w:noProof w:val="0"/>
          <w:sz w:val="20"/>
          <w:szCs w:val="20"/>
        </w:rPr>
        <w:t xml:space="preserve">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w:t>
      </w:r>
      <w:proofErr w:type="spellStart"/>
      <w:r w:rsidRPr="000E6AB5">
        <w:rPr>
          <w:rFonts w:asciiTheme="majorHAnsi" w:hAnsiTheme="majorHAnsi" w:cs="Arial"/>
          <w:sz w:val="20"/>
          <w:szCs w:val="20"/>
        </w:rPr>
        <w:t>eID</w:t>
      </w:r>
      <w:proofErr w:type="spellEnd"/>
      <w:r w:rsidRPr="000E6AB5">
        <w:rPr>
          <w:rFonts w:asciiTheme="majorHAnsi" w:hAnsiTheme="majorHAnsi" w:cs="Arial"/>
          <w:sz w:val="20"/>
          <w:szCs w:val="20"/>
        </w:rPr>
        <w:t>).</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w:t>
      </w:r>
      <w:proofErr w:type="spellStart"/>
      <w:r w:rsidRPr="00EC59FD">
        <w:rPr>
          <w:rFonts w:ascii="Cambria" w:hAnsi="Cambria" w:cs="Arial"/>
          <w:sz w:val="20"/>
          <w:szCs w:val="20"/>
        </w:rPr>
        <w:t>položkového</w:t>
      </w:r>
      <w:proofErr w:type="spellEnd"/>
      <w:r w:rsidRPr="00EC59FD">
        <w:rPr>
          <w:rFonts w:ascii="Cambria" w:hAnsi="Cambria" w:cs="Arial"/>
          <w:sz w:val="20"/>
          <w:szCs w:val="20"/>
        </w:rPr>
        <w:t xml:space="preserve">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830544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581180" w:rsidRPr="00076D40">
        <w:rPr>
          <w:rFonts w:asciiTheme="majorHAnsi" w:hAnsiTheme="majorHAnsi" w:cs="Arial"/>
          <w:b/>
          <w:sz w:val="20"/>
          <w:szCs w:val="20"/>
        </w:rPr>
        <w:t>7</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5D0C902E" w:rsidR="00BD1830" w:rsidRDefault="00575865" w:rsidP="00876B0C">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00876B0C" w:rsidRPr="00076944">
        <w:rPr>
          <w:rFonts w:asciiTheme="majorHAnsi" w:hAnsiTheme="majorHAnsi" w:cs="Arial"/>
          <w:sz w:val="20"/>
          <w:szCs w:val="20"/>
        </w:rPr>
        <w:t>dodávok poskytnutých služieb</w:t>
      </w:r>
      <w:r w:rsidR="00876B0C">
        <w:rPr>
          <w:rFonts w:asciiTheme="majorHAnsi" w:hAnsiTheme="majorHAnsi" w:cs="Arial"/>
          <w:sz w:val="20"/>
          <w:szCs w:val="20"/>
        </w:rPr>
        <w:t xml:space="preserve">, ktorý bude obsahovať </w:t>
      </w:r>
      <w:r w:rsidR="00E63876" w:rsidRPr="00E63876">
        <w:rPr>
          <w:rFonts w:asciiTheme="majorHAnsi" w:hAnsiTheme="majorHAnsi" w:cs="Arial"/>
          <w:noProof w:val="0"/>
          <w:sz w:val="20"/>
          <w:szCs w:val="20"/>
        </w:rPr>
        <w:t xml:space="preserve">minimálne </w:t>
      </w:r>
      <w:r w:rsidR="00E63876">
        <w:rPr>
          <w:rFonts w:asciiTheme="majorHAnsi" w:hAnsiTheme="majorHAnsi" w:cs="Arial"/>
          <w:noProof w:val="0"/>
          <w:sz w:val="20"/>
          <w:szCs w:val="20"/>
        </w:rPr>
        <w:t>dva</w:t>
      </w:r>
      <w:r w:rsidR="00E63876" w:rsidRPr="00E63876">
        <w:rPr>
          <w:rFonts w:asciiTheme="majorHAnsi" w:hAnsiTheme="majorHAnsi" w:cs="Arial"/>
          <w:noProof w:val="0"/>
          <w:sz w:val="20"/>
          <w:szCs w:val="20"/>
        </w:rPr>
        <w:t xml:space="preserve">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projekty musia byť minimálne v celkovej hodnote 250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w:t>
      </w:r>
      <w:r w:rsidR="00A275DC" w:rsidRPr="00A275DC">
        <w:rPr>
          <w:rFonts w:asciiTheme="majorHAnsi" w:hAnsiTheme="majorHAnsi" w:cs="Arial"/>
          <w:noProof w:val="0"/>
          <w:sz w:val="20"/>
          <w:szCs w:val="20"/>
        </w:rPr>
        <w:t>za predchádzajúcich päť rokov od vyhlásenia verejného obstarávania</w:t>
      </w:r>
      <w:r w:rsidR="00A275DC">
        <w:rPr>
          <w:rFonts w:asciiTheme="majorHAnsi" w:hAnsiTheme="majorHAnsi" w:cs="Arial"/>
          <w:noProof w:val="0"/>
          <w:sz w:val="20"/>
          <w:szCs w:val="20"/>
        </w:rPr>
        <w:t xml:space="preserve"> </w:t>
      </w:r>
      <w:r w:rsidR="00A275DC">
        <w:rPr>
          <w:rFonts w:asciiTheme="majorHAnsi" w:hAnsiTheme="majorHAnsi" w:cs="Arial"/>
          <w:noProof w:val="0"/>
          <w:sz w:val="20"/>
          <w:szCs w:val="20"/>
        </w:rPr>
        <w:br/>
      </w:r>
      <w:r w:rsidR="00E63876" w:rsidRPr="00E63876">
        <w:rPr>
          <w:rFonts w:asciiTheme="majorHAnsi" w:hAnsiTheme="majorHAnsi" w:cs="Arial"/>
          <w:noProof w:val="0"/>
          <w:sz w:val="20"/>
          <w:szCs w:val="20"/>
        </w:rPr>
        <w:t xml:space="preserve">a minimálne jeden z týchto projektov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v hodnote 150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E63876">
        <w:rPr>
          <w:rFonts w:asciiTheme="majorHAnsi" w:hAnsiTheme="majorHAnsi" w:cs="Arial"/>
          <w:noProof w:val="0"/>
          <w:sz w:val="20"/>
          <w:szCs w:val="20"/>
        </w:rPr>
        <w:t xml:space="preserve"> a </w:t>
      </w:r>
      <w:r w:rsidR="00E63876" w:rsidRPr="00E63876">
        <w:rPr>
          <w:rFonts w:asciiTheme="majorHAnsi" w:hAnsiTheme="majorHAnsi" w:cs="Arial"/>
          <w:noProof w:val="0"/>
          <w:sz w:val="20"/>
          <w:szCs w:val="20"/>
        </w:rPr>
        <w:t xml:space="preserve">realizovaný pre centrálnu banku, </w:t>
      </w:r>
      <w:r w:rsidR="00DE2FC5" w:rsidRPr="00DE2FC5">
        <w:rPr>
          <w:rFonts w:asciiTheme="majorHAnsi" w:hAnsiTheme="majorHAnsi" w:cs="Arial"/>
          <w:noProof w:val="0"/>
          <w:sz w:val="20"/>
          <w:szCs w:val="20"/>
        </w:rPr>
        <w:t>národn</w:t>
      </w:r>
      <w:r w:rsidR="00D20D91">
        <w:rPr>
          <w:rFonts w:asciiTheme="majorHAnsi" w:hAnsiTheme="majorHAnsi" w:cs="Arial"/>
          <w:noProof w:val="0"/>
          <w:sz w:val="20"/>
          <w:szCs w:val="20"/>
        </w:rPr>
        <w:t>ého</w:t>
      </w:r>
      <w:r w:rsidR="00DE2FC5" w:rsidRPr="00DE2FC5">
        <w:rPr>
          <w:rFonts w:asciiTheme="majorHAnsi" w:hAnsiTheme="majorHAnsi" w:cs="Arial"/>
          <w:noProof w:val="0"/>
          <w:sz w:val="20"/>
          <w:szCs w:val="20"/>
        </w:rPr>
        <w:t xml:space="preserve"> regulátor</w:t>
      </w:r>
      <w:r w:rsidR="00D20D91">
        <w:rPr>
          <w:rFonts w:asciiTheme="majorHAnsi" w:hAnsiTheme="majorHAnsi" w:cs="Arial"/>
          <w:noProof w:val="0"/>
          <w:sz w:val="20"/>
          <w:szCs w:val="20"/>
        </w:rPr>
        <w:t>a</w:t>
      </w:r>
      <w:r w:rsidR="00DE2FC5" w:rsidRPr="00DE2FC5">
        <w:rPr>
          <w:rFonts w:asciiTheme="majorHAnsi" w:hAnsiTheme="majorHAnsi" w:cs="Arial"/>
          <w:noProof w:val="0"/>
          <w:sz w:val="20"/>
          <w:szCs w:val="20"/>
        </w:rPr>
        <w:t xml:space="preserve"> (NRA – National </w:t>
      </w:r>
      <w:proofErr w:type="spellStart"/>
      <w:r w:rsidR="00DE2FC5" w:rsidRPr="00DE2FC5">
        <w:rPr>
          <w:rFonts w:asciiTheme="majorHAnsi" w:hAnsiTheme="majorHAnsi" w:cs="Arial"/>
          <w:noProof w:val="0"/>
          <w:sz w:val="20"/>
          <w:szCs w:val="20"/>
        </w:rPr>
        <w:t>Regulatory</w:t>
      </w:r>
      <w:proofErr w:type="spellEnd"/>
      <w:r w:rsidR="00DE2FC5" w:rsidRPr="00DE2FC5">
        <w:rPr>
          <w:rFonts w:asciiTheme="majorHAnsi" w:hAnsiTheme="majorHAnsi" w:cs="Arial"/>
          <w:noProof w:val="0"/>
          <w:sz w:val="20"/>
          <w:szCs w:val="20"/>
        </w:rPr>
        <w:t xml:space="preserve"> </w:t>
      </w:r>
      <w:proofErr w:type="spellStart"/>
      <w:r w:rsidR="00DE2FC5" w:rsidRPr="00DE2FC5">
        <w:rPr>
          <w:rFonts w:asciiTheme="majorHAnsi" w:hAnsiTheme="majorHAnsi" w:cs="Arial"/>
          <w:noProof w:val="0"/>
          <w:sz w:val="20"/>
          <w:szCs w:val="20"/>
        </w:rPr>
        <w:t>Authority</w:t>
      </w:r>
      <w:proofErr w:type="spellEnd"/>
      <w:r w:rsidR="00DE2FC5" w:rsidRPr="00DE2FC5">
        <w:rPr>
          <w:rFonts w:asciiTheme="majorHAnsi" w:hAnsiTheme="majorHAnsi" w:cs="Arial"/>
          <w:noProof w:val="0"/>
          <w:sz w:val="20"/>
          <w:szCs w:val="20"/>
        </w:rPr>
        <w:t>) v niektorej z krajín EU</w:t>
      </w:r>
      <w:r w:rsidR="00E63876" w:rsidRPr="00E63876">
        <w:rPr>
          <w:rFonts w:asciiTheme="majorHAnsi" w:hAnsiTheme="majorHAnsi" w:cs="Arial"/>
          <w:noProof w:val="0"/>
          <w:sz w:val="20"/>
          <w:szCs w:val="20"/>
        </w:rPr>
        <w:t>, európsky orgán dohľadu alebo štatistický úrad v niektorej z krajín EU.</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w:t>
      </w:r>
      <w:proofErr w:type="spellStart"/>
      <w:r w:rsidRPr="00D779B1">
        <w:rPr>
          <w:rFonts w:ascii="Cambria" w:hAnsi="Cambria" w:cs="Calibri"/>
          <w:noProof w:val="0"/>
          <w:sz w:val="20"/>
          <w:szCs w:val="20"/>
        </w:rPr>
        <w:t>korporátnej</w:t>
      </w:r>
      <w:proofErr w:type="spellEnd"/>
      <w:r w:rsidRPr="00D779B1">
        <w:rPr>
          <w:rFonts w:ascii="Cambria" w:hAnsi="Cambria" w:cs="Calibri"/>
          <w:noProof w:val="0"/>
          <w:sz w:val="20"/>
          <w:szCs w:val="20"/>
        </w:rPr>
        <w:t xml:space="preserve">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 xml:space="preserve">Certifikát v oblasti projektového riadenia minimálne na úrovni PRINCE 2 </w:t>
      </w:r>
      <w:proofErr w:type="spellStart"/>
      <w:r w:rsidRPr="00D779B1">
        <w:rPr>
          <w:rFonts w:asciiTheme="majorHAnsi" w:hAnsiTheme="majorHAnsi" w:cs="Calibri"/>
          <w:noProof w:val="0"/>
          <w:sz w:val="20"/>
          <w:szCs w:val="20"/>
        </w:rPr>
        <w:t>Practitioner</w:t>
      </w:r>
      <w:proofErr w:type="spellEnd"/>
      <w:r w:rsidRPr="00D779B1">
        <w:rPr>
          <w:rFonts w:asciiTheme="majorHAnsi" w:hAnsiTheme="majorHAnsi" w:cs="Calibri"/>
          <w:noProof w:val="0"/>
          <w:sz w:val="20"/>
          <w:szCs w:val="20"/>
        </w:rPr>
        <w:t xml:space="preserve"> alebo iný obdobný ekvivalent (certifikát IPMA, PMI CAPM na porovnateľnej úrovni ako Prince2 </w:t>
      </w:r>
      <w:proofErr w:type="spellStart"/>
      <w:r w:rsidRPr="00D779B1">
        <w:rPr>
          <w:rFonts w:asciiTheme="majorHAnsi" w:hAnsiTheme="majorHAnsi" w:cs="Calibri"/>
          <w:noProof w:val="0"/>
          <w:sz w:val="20"/>
          <w:szCs w:val="20"/>
        </w:rPr>
        <w:t>Practitioner</w:t>
      </w:r>
      <w:proofErr w:type="spellEnd"/>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6A0982E0" w:rsidR="00282563"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r>
      <w:bookmarkStart w:id="26" w:name="_Hlk76786128"/>
      <w:r w:rsidRPr="00D779B1">
        <w:rPr>
          <w:rFonts w:asciiTheme="majorHAnsi" w:hAnsiTheme="majorHAnsi" w:cs="Calibri"/>
          <w:noProof w:val="0"/>
          <w:sz w:val="20"/>
          <w:szCs w:val="20"/>
        </w:rPr>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7" w:name="_Hlk43897256"/>
      <w:r w:rsidRPr="00D779B1">
        <w:rPr>
          <w:rFonts w:asciiTheme="majorHAnsi" w:hAnsiTheme="majorHAnsi" w:cs="Calibri"/>
          <w:noProof w:val="0"/>
          <w:sz w:val="20"/>
          <w:szCs w:val="20"/>
        </w:rPr>
        <w:t>od vyhlásenia verejného obstarávania</w:t>
      </w:r>
      <w:bookmarkEnd w:id="27"/>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bookmarkEnd w:id="26"/>
    <w:p w14:paraId="4301FA8E" w14:textId="3717BAEE"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 xml:space="preserve">Verejný obstarávateľ definuje informačný systém  Národnej banky Slovenska nasledovne: „Informačným systémom sa rozumie množina vzájomne prepojených IT, ktoré umožňujú automatizovane vykonávať účelovú množinu funkcií na podporu jednej alebo viacerých činností NBS. Pojem informačný systém zahŕňa aj komunikačný systém, ktorého rozhodujúcou funkciou je prenos informácií.“ Analogicky s  touto definíciou informačného systému v NBS, bude verejný obstarávateľ akceptovať pre účely predmetného verejného obstarávania informačné systémy, ktoré umožňujú automatizovane vykonávať funkcie podporujúce činnosti poskytovateľa referencie.   </w:t>
      </w:r>
    </w:p>
    <w:p w14:paraId="09EEBA46" w14:textId="3DF5EABC"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Verejný obstarávateľ zároveň neurčuje veľkosť informačných systémov prevádzkovaných poskytovateľom referencie, pričom jednotlivé moduly informačných systémov nepovažuje za samostatné informačné systémy.</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w:t>
      </w:r>
      <w:proofErr w:type="spellStart"/>
      <w:r w:rsidRPr="00D779B1">
        <w:rPr>
          <w:rFonts w:asciiTheme="majorHAnsi" w:hAnsiTheme="majorHAnsi" w:cstheme="majorHAnsi"/>
          <w:noProof w:val="0"/>
          <w:sz w:val="20"/>
          <w:szCs w:val="20"/>
        </w:rPr>
        <w:t>cost</w:t>
      </w:r>
      <w:proofErr w:type="spellEnd"/>
      <w:r w:rsidRPr="00D779B1">
        <w:rPr>
          <w:rFonts w:asciiTheme="majorHAnsi" w:hAnsiTheme="majorHAnsi" w:cstheme="majorHAnsi"/>
          <w:noProof w:val="0"/>
          <w:sz w:val="20"/>
          <w:szCs w:val="20"/>
        </w:rPr>
        <w:t xml:space="preserve">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8" w:name="_Hlk43900089"/>
      <w:r w:rsidRPr="00D779B1">
        <w:rPr>
          <w:rFonts w:asciiTheme="majorHAnsi" w:hAnsiTheme="majorHAnsi" w:cs="Calibri-Bold"/>
          <w:b/>
          <w:bCs/>
          <w:noProof w:val="0"/>
          <w:sz w:val="20"/>
          <w:szCs w:val="20"/>
        </w:rPr>
        <w:t>procesný analytik</w:t>
      </w:r>
      <w:bookmarkEnd w:id="28"/>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w:t>
      </w:r>
      <w:proofErr w:type="spellStart"/>
      <w:r w:rsidRPr="00D779B1">
        <w:rPr>
          <w:rFonts w:asciiTheme="majorHAnsi" w:hAnsiTheme="majorHAnsi" w:cs="Calibri"/>
          <w:noProof w:val="0"/>
          <w:sz w:val="20"/>
          <w:szCs w:val="20"/>
        </w:rPr>
        <w:t>Lean</w:t>
      </w:r>
      <w:proofErr w:type="spellEnd"/>
      <w:r w:rsidRPr="00D779B1">
        <w:rPr>
          <w:rFonts w:asciiTheme="majorHAnsi" w:hAnsiTheme="majorHAnsi" w:cs="Calibri"/>
          <w:noProof w:val="0"/>
          <w:sz w:val="20"/>
          <w:szCs w:val="20"/>
        </w:rPr>
        <w:t xml:space="preserve"> Management minimálne na úrovni </w:t>
      </w:r>
      <w:proofErr w:type="spellStart"/>
      <w:r w:rsidRPr="00D779B1">
        <w:rPr>
          <w:rFonts w:asciiTheme="majorHAnsi" w:hAnsiTheme="majorHAnsi" w:cs="Calibri"/>
          <w:noProof w:val="0"/>
          <w:sz w:val="20"/>
          <w:szCs w:val="20"/>
        </w:rPr>
        <w:t>Lean</w:t>
      </w:r>
      <w:proofErr w:type="spellEnd"/>
      <w:r w:rsidRPr="00D779B1">
        <w:rPr>
          <w:rFonts w:asciiTheme="majorHAnsi" w:hAnsiTheme="majorHAnsi" w:cs="Calibri"/>
          <w:noProof w:val="0"/>
          <w:sz w:val="20"/>
          <w:szCs w:val="20"/>
        </w:rPr>
        <w:t xml:space="preserve"> Expert alebo iný obdobný ekvivalent  (</w:t>
      </w:r>
      <w:proofErr w:type="spellStart"/>
      <w:r w:rsidRPr="00D779B1">
        <w:rPr>
          <w:rFonts w:asciiTheme="majorHAnsi" w:hAnsiTheme="majorHAnsi" w:cs="Calibri"/>
          <w:noProof w:val="0"/>
          <w:sz w:val="20"/>
          <w:szCs w:val="20"/>
        </w:rPr>
        <w:t>Six</w:t>
      </w:r>
      <w:proofErr w:type="spellEnd"/>
      <w:r w:rsidRPr="00D779B1">
        <w:rPr>
          <w:rFonts w:asciiTheme="majorHAnsi" w:hAnsiTheme="majorHAnsi" w:cs="Calibri"/>
          <w:noProof w:val="0"/>
          <w:sz w:val="20"/>
          <w:szCs w:val="20"/>
        </w:rPr>
        <w:t xml:space="preserve"> Sigma </w:t>
      </w:r>
      <w:proofErr w:type="spellStart"/>
      <w:r w:rsidRPr="00D779B1">
        <w:rPr>
          <w:rFonts w:asciiTheme="majorHAnsi" w:hAnsiTheme="majorHAnsi" w:cs="Calibri"/>
          <w:noProof w:val="0"/>
          <w:sz w:val="20"/>
          <w:szCs w:val="20"/>
        </w:rPr>
        <w:t>Blakck</w:t>
      </w:r>
      <w:proofErr w:type="spellEnd"/>
      <w:r w:rsidRPr="00D779B1">
        <w:rPr>
          <w:rFonts w:asciiTheme="majorHAnsi" w:hAnsiTheme="majorHAnsi" w:cs="Calibri"/>
          <w:noProof w:val="0"/>
          <w:sz w:val="20"/>
          <w:szCs w:val="20"/>
        </w:rPr>
        <w:t xml:space="preserve"> </w:t>
      </w:r>
      <w:proofErr w:type="spellStart"/>
      <w:r w:rsidRPr="00D779B1">
        <w:rPr>
          <w:rFonts w:asciiTheme="majorHAnsi" w:hAnsiTheme="majorHAnsi" w:cs="Calibri"/>
          <w:noProof w:val="0"/>
          <w:sz w:val="20"/>
          <w:szCs w:val="20"/>
        </w:rPr>
        <w:t>Belt</w:t>
      </w:r>
      <w:proofErr w:type="spellEnd"/>
      <w:r w:rsidRPr="00D779B1">
        <w:rPr>
          <w:rFonts w:asciiTheme="majorHAnsi" w:hAnsiTheme="majorHAnsi" w:cs="Calibri"/>
          <w:noProof w:val="0"/>
          <w:sz w:val="20"/>
          <w:szCs w:val="20"/>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w:t>
      </w:r>
      <w:proofErr w:type="spellStart"/>
      <w:r w:rsidRPr="00D779B1">
        <w:rPr>
          <w:rFonts w:asciiTheme="majorHAnsi" w:hAnsiTheme="majorHAnsi" w:cstheme="majorHAnsi"/>
          <w:noProof w:val="0"/>
          <w:sz w:val="20"/>
          <w:szCs w:val="20"/>
        </w:rPr>
        <w:t>Master</w:t>
      </w:r>
      <w:proofErr w:type="spellEnd"/>
      <w:r w:rsidRPr="00D779B1">
        <w:rPr>
          <w:rFonts w:asciiTheme="majorHAnsi" w:hAnsiTheme="majorHAnsi" w:cstheme="majorHAnsi"/>
          <w:noProof w:val="0"/>
          <w:sz w:val="20"/>
          <w:szCs w:val="20"/>
        </w:rPr>
        <w:t xml:space="preserve"> </w:t>
      </w:r>
      <w:proofErr w:type="spellStart"/>
      <w:r w:rsidRPr="00D779B1">
        <w:rPr>
          <w:rFonts w:asciiTheme="majorHAnsi" w:hAnsiTheme="majorHAnsi" w:cstheme="majorHAnsi"/>
          <w:noProof w:val="0"/>
          <w:sz w:val="20"/>
          <w:szCs w:val="20"/>
        </w:rPr>
        <w:t>Data</w:t>
      </w:r>
      <w:proofErr w:type="spellEnd"/>
      <w:r w:rsidRPr="00D779B1">
        <w:rPr>
          <w:rFonts w:asciiTheme="majorHAnsi" w:hAnsiTheme="majorHAnsi" w:cstheme="majorHAnsi"/>
          <w:noProof w:val="0"/>
          <w:sz w:val="20"/>
          <w:szCs w:val="20"/>
        </w:rPr>
        <w:t xml:space="preserve">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w:t>
      </w:r>
      <w:proofErr w:type="spellStart"/>
      <w:r w:rsidRPr="00D779B1">
        <w:rPr>
          <w:rFonts w:asciiTheme="majorHAnsi" w:hAnsiTheme="majorHAnsi" w:cs="Calibri"/>
          <w:noProof w:val="0"/>
          <w:sz w:val="20"/>
          <w:szCs w:val="20"/>
        </w:rPr>
        <w:t>Practitioner</w:t>
      </w:r>
      <w:proofErr w:type="spellEnd"/>
      <w:r w:rsidRPr="00D779B1">
        <w:rPr>
          <w:rFonts w:asciiTheme="majorHAnsi" w:hAnsiTheme="majorHAnsi" w:cs="Calibri"/>
          <w:noProof w:val="0"/>
          <w:sz w:val="20"/>
          <w:szCs w:val="20"/>
        </w:rPr>
        <w:t xml:space="preserve">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proofErr w:type="spellStart"/>
      <w:r>
        <w:rPr>
          <w:rFonts w:asciiTheme="majorHAnsi" w:hAnsiTheme="majorHAnsi" w:cs="Calibri"/>
          <w:noProof w:val="0"/>
          <w:sz w:val="20"/>
          <w:szCs w:val="20"/>
        </w:rPr>
        <w:t>Intermediate</w:t>
      </w:r>
      <w:proofErr w:type="spellEnd"/>
      <w:r>
        <w:rPr>
          <w:rFonts w:asciiTheme="majorHAnsi" w:hAnsiTheme="majorHAnsi" w:cs="Calibri"/>
          <w:noProof w:val="0"/>
          <w:sz w:val="20"/>
          <w:szCs w:val="20"/>
        </w:rPr>
        <w:t>,</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lastRenderedPageBreak/>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9"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9"/>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30" w:name="_Hlk44060801"/>
      <w:r w:rsidR="004B7A15">
        <w:rPr>
          <w:rFonts w:asciiTheme="majorHAnsi" w:hAnsiTheme="majorHAnsi" w:cs="Arial"/>
          <w:sz w:val="20"/>
          <w:szCs w:val="20"/>
        </w:rPr>
        <w:t xml:space="preserve">a to v súladnom rozsahu a vymedzení počtu </w:t>
      </w:r>
      <w:proofErr w:type="spellStart"/>
      <w:r w:rsidR="004B7A15">
        <w:rPr>
          <w:rFonts w:asciiTheme="majorHAnsi" w:hAnsiTheme="majorHAnsi" w:cs="Arial"/>
          <w:sz w:val="20"/>
          <w:szCs w:val="20"/>
        </w:rPr>
        <w:t>osobodní</w:t>
      </w:r>
      <w:proofErr w:type="spellEnd"/>
      <w:r w:rsidR="004B7A15">
        <w:rPr>
          <w:rFonts w:asciiTheme="majorHAnsi" w:hAnsiTheme="majorHAnsi" w:cs="Arial"/>
          <w:sz w:val="20"/>
          <w:szCs w:val="20"/>
        </w:rPr>
        <w:t xml:space="preserve">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30"/>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 xml:space="preserve">a to v súladnom rozsahu a vymedzení počtu </w:t>
      </w:r>
      <w:proofErr w:type="spellStart"/>
      <w:r w:rsidR="004B7A15" w:rsidRPr="004B7A15">
        <w:rPr>
          <w:rFonts w:asciiTheme="majorHAnsi" w:hAnsiTheme="majorHAnsi" w:cs="Arial"/>
          <w:sz w:val="20"/>
          <w:szCs w:val="20"/>
        </w:rPr>
        <w:t>osobodní</w:t>
      </w:r>
      <w:proofErr w:type="spellEnd"/>
      <w:r w:rsidR="004B7A15" w:rsidRPr="004B7A15">
        <w:rPr>
          <w:rFonts w:asciiTheme="majorHAnsi" w:hAnsiTheme="majorHAnsi" w:cs="Arial"/>
          <w:sz w:val="20"/>
          <w:szCs w:val="20"/>
        </w:rPr>
        <w:t xml:space="preserve">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w:t>
      </w:r>
      <w:r w:rsidR="008F1641" w:rsidRPr="004C1F2B">
        <w:rPr>
          <w:rFonts w:asciiTheme="majorHAnsi" w:hAnsiTheme="majorHAnsi" w:cs="Arial"/>
          <w:sz w:val="20"/>
          <w:szCs w:val="20"/>
        </w:rPr>
        <w:lastRenderedPageBreak/>
        <w:t xml:space="preserve">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1"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1"/>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2"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2"/>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3" w:name="_Hlk43974552"/>
      <w:bookmarkStart w:id="34" w:name="_Hlk43983775"/>
      <w:r w:rsidRPr="00916058">
        <w:rPr>
          <w:rFonts w:ascii="Cambria" w:hAnsi="Cambria" w:cs="Arial"/>
          <w:bCs/>
          <w:sz w:val="20"/>
          <w:szCs w:val="20"/>
        </w:rPr>
        <w:t xml:space="preserve">Kritérium č. 1: </w:t>
      </w:r>
      <w:bookmarkStart w:id="35"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5"/>
      <w:r w:rsidRPr="00916058">
        <w:rPr>
          <w:rFonts w:ascii="Cambria" w:hAnsi="Cambria" w:cs="Arial"/>
          <w:bCs/>
          <w:sz w:val="20"/>
          <w:szCs w:val="20"/>
        </w:rPr>
        <w:t xml:space="preserve"> </w:t>
      </w:r>
      <w:bookmarkEnd w:id="33"/>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4"/>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6"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6"/>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7" w:name="_Hlk43899295"/>
      <w:r w:rsidR="00453388" w:rsidRPr="00453388">
        <w:rPr>
          <w:rFonts w:ascii="Cambria" w:hAnsi="Cambria" w:cs="Arial"/>
          <w:bCs/>
          <w:noProof w:val="0"/>
          <w:sz w:val="20"/>
          <w:szCs w:val="20"/>
        </w:rPr>
        <w:t>spolu za predmet zákazky v eurách bez DPH</w:t>
      </w:r>
      <w:bookmarkEnd w:id="37"/>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Pr="00916058">
        <w:rPr>
          <w:rFonts w:ascii="Cambria" w:hAnsi="Cambria" w:cs="Arial"/>
          <w:bCs/>
          <w:noProof w:val="0"/>
          <w:sz w:val="20"/>
          <w:szCs w:val="20"/>
        </w:rPr>
        <w:t xml:space="preserve">   /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8" w:name="_Hlk43896393"/>
      <w:bookmarkStart w:id="39"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xml:space="preserve">. Predmetný koeficient je podielom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Pr>
          <w:rFonts w:ascii="Cambria" w:hAnsi="Cambria" w:cs="Arial"/>
          <w:bCs/>
          <w:noProof w:val="0"/>
          <w:sz w:val="20"/>
          <w:szCs w:val="20"/>
        </w:rPr>
        <w:t>CBH</w:t>
      </w:r>
      <w:r w:rsidRPr="00916058">
        <w:rPr>
          <w:rFonts w:ascii="Cambria" w:hAnsi="Cambria" w:cs="Arial"/>
          <w:bCs/>
          <w:noProof w:val="0"/>
          <w:sz w:val="20"/>
          <w:szCs w:val="20"/>
          <w:vertAlign w:val="subscript"/>
        </w:rPr>
        <w:t>max</w:t>
      </w:r>
      <w:proofErr w:type="spellEnd"/>
      <w:r w:rsidRPr="00916058">
        <w:rPr>
          <w:rFonts w:ascii="Cambria" w:hAnsi="Cambria" w:cs="Arial"/>
          <w:bCs/>
          <w:noProof w:val="0"/>
          <w:sz w:val="20"/>
          <w:szCs w:val="20"/>
          <w:vertAlign w:val="subscript"/>
        </w:rPr>
        <w:t xml:space="preserve">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8"/>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40" w:name="_Hlk43975792"/>
      <w:r w:rsidRPr="00602215">
        <w:rPr>
          <w:rFonts w:asciiTheme="majorHAnsi" w:hAnsiTheme="majorHAnsi" w:cs="Arial"/>
          <w:b/>
        </w:rPr>
        <w:t>Návrh na plnenie kritérií na vyhodnotenie ponúk</w:t>
      </w:r>
    </w:p>
    <w:bookmarkEnd w:id="39"/>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1" w:name="_Hlk71792603"/>
      <w:r w:rsidR="006837E3" w:rsidRPr="006837E3">
        <w:rPr>
          <w:rFonts w:ascii="Cambria" w:hAnsi="Cambria"/>
          <w:color w:val="000000" w:themeColor="text1"/>
          <w:sz w:val="20"/>
          <w:szCs w:val="20"/>
        </w:rPr>
        <w:t>Dátová stratégia Národnej banky Slovenska</w:t>
      </w:r>
      <w:bookmarkEnd w:id="41"/>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2"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40"/>
    <w:bookmarkEnd w:id="42"/>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3"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 xml:space="preserve">očet </w:t>
      </w:r>
      <w:proofErr w:type="spellStart"/>
      <w:r w:rsidRPr="008C3AEE">
        <w:rPr>
          <w:rFonts w:asciiTheme="majorHAnsi" w:hAnsiTheme="majorHAnsi"/>
          <w:b/>
          <w:sz w:val="20"/>
          <w:szCs w:val="20"/>
          <w:u w:val="single"/>
        </w:rPr>
        <w:t>osobodní</w:t>
      </w:r>
      <w:proofErr w:type="spellEnd"/>
      <w:r w:rsidRPr="008C3AEE">
        <w:rPr>
          <w:rFonts w:asciiTheme="majorHAnsi" w:hAnsiTheme="majorHAnsi"/>
          <w:b/>
          <w:sz w:val="20"/>
          <w:szCs w:val="20"/>
          <w:u w:val="single"/>
        </w:rPr>
        <w:t xml:space="preserve">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w:t>
      </w:r>
      <w:proofErr w:type="spellStart"/>
      <w:r w:rsidR="005F2526" w:rsidRPr="008C3AEE">
        <w:rPr>
          <w:rFonts w:asciiTheme="majorHAnsi" w:hAnsiTheme="majorHAnsi"/>
          <w:b/>
          <w:sz w:val="20"/>
          <w:szCs w:val="20"/>
          <w:u w:val="single"/>
        </w:rPr>
        <w:t>osobodní</w:t>
      </w:r>
      <w:proofErr w:type="spellEnd"/>
      <w:r w:rsidR="005F2526" w:rsidRPr="008C3AEE">
        <w:rPr>
          <w:rFonts w:asciiTheme="majorHAnsi" w:hAnsiTheme="majorHAnsi"/>
          <w:b/>
          <w:sz w:val="20"/>
          <w:szCs w:val="20"/>
          <w:u w:val="single"/>
        </w:rPr>
        <w:t xml:space="preserve">, pričom </w:t>
      </w:r>
      <w:bookmarkEnd w:id="43"/>
      <w:r w:rsidR="005F2526" w:rsidRPr="008C3AEE">
        <w:rPr>
          <w:rFonts w:asciiTheme="majorHAnsi" w:hAnsiTheme="majorHAnsi"/>
          <w:b/>
          <w:sz w:val="20"/>
          <w:szCs w:val="20"/>
          <w:u w:val="single"/>
        </w:rPr>
        <w:t xml:space="preserve">počet </w:t>
      </w:r>
      <w:proofErr w:type="spellStart"/>
      <w:r w:rsidR="005F2526" w:rsidRPr="008C3AEE">
        <w:rPr>
          <w:rFonts w:asciiTheme="majorHAnsi" w:hAnsiTheme="majorHAnsi"/>
          <w:b/>
          <w:sz w:val="20"/>
          <w:szCs w:val="20"/>
          <w:u w:val="single"/>
        </w:rPr>
        <w:t>osobodní</w:t>
      </w:r>
      <w:proofErr w:type="spellEnd"/>
      <w:r w:rsidR="005F2526" w:rsidRPr="008C3AEE">
        <w:rPr>
          <w:rFonts w:asciiTheme="majorHAnsi" w:hAnsiTheme="majorHAnsi"/>
          <w:b/>
          <w:sz w:val="20"/>
          <w:szCs w:val="20"/>
          <w:u w:val="single"/>
        </w:rPr>
        <w:t xml:space="preserve">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w:t>
      </w:r>
      <w:proofErr w:type="spellStart"/>
      <w:r w:rsidR="003807CC" w:rsidRPr="008C3AEE">
        <w:rPr>
          <w:rFonts w:asciiTheme="majorHAnsi" w:hAnsiTheme="majorHAnsi"/>
          <w:b/>
          <w:sz w:val="20"/>
          <w:szCs w:val="20"/>
          <w:u w:val="single"/>
        </w:rPr>
        <w:t>osobodní</w:t>
      </w:r>
      <w:proofErr w:type="spellEnd"/>
      <w:r w:rsidR="003807CC" w:rsidRPr="008C3AEE">
        <w:rPr>
          <w:rFonts w:asciiTheme="majorHAnsi" w:hAnsiTheme="majorHAnsi"/>
          <w:b/>
          <w:sz w:val="20"/>
          <w:szCs w:val="20"/>
          <w:u w:val="single"/>
        </w:rPr>
        <w:t xml:space="preserve">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Start w:id="57" w:name="_Hlk503420177"/>
      <w:bookmarkEnd w:id="44"/>
      <w:bookmarkEnd w:id="45"/>
      <w:bookmarkEnd w:id="46"/>
      <w:bookmarkEnd w:id="47"/>
      <w:bookmarkEnd w:id="48"/>
      <w:bookmarkEnd w:id="49"/>
      <w:bookmarkEnd w:id="50"/>
      <w:bookmarkEnd w:id="51"/>
      <w:bookmarkEnd w:id="52"/>
      <w:bookmarkEnd w:id="53"/>
      <w:bookmarkEnd w:id="54"/>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w:t>
      </w:r>
      <w:proofErr w:type="spellStart"/>
      <w:r w:rsidRPr="008E5DC9">
        <w:rPr>
          <w:rFonts w:asciiTheme="majorHAnsi" w:hAnsiTheme="majorHAnsi" w:cs="Arial"/>
          <w:sz w:val="20"/>
          <w:szCs w:val="20"/>
        </w:rPr>
        <w:t>Master</w:t>
      </w:r>
      <w:proofErr w:type="spellEnd"/>
      <w:r w:rsidRPr="008E5DC9">
        <w:rPr>
          <w:rFonts w:asciiTheme="majorHAnsi" w:hAnsiTheme="majorHAnsi" w:cs="Arial"/>
          <w:sz w:val="20"/>
          <w:szCs w:val="20"/>
        </w:rPr>
        <w:t xml:space="preserve"> </w:t>
      </w:r>
      <w:proofErr w:type="spellStart"/>
      <w:r w:rsidRPr="008E5DC9">
        <w:rPr>
          <w:rFonts w:asciiTheme="majorHAnsi" w:hAnsiTheme="majorHAnsi" w:cs="Arial"/>
          <w:sz w:val="20"/>
          <w:szCs w:val="20"/>
        </w:rPr>
        <w:t>Data</w:t>
      </w:r>
      <w:proofErr w:type="spellEnd"/>
      <w:r w:rsidRPr="008E5DC9">
        <w:rPr>
          <w:rFonts w:asciiTheme="majorHAnsi" w:hAnsiTheme="majorHAnsi" w:cs="Arial"/>
          <w:sz w:val="20"/>
          <w:szCs w:val="20"/>
        </w:rPr>
        <w:t xml:space="preserve"> Management) a z neho vyplývajúce potrebné organizačné a iné implementačné úpravy a pravidlá pre riadenie dát (</w:t>
      </w:r>
      <w:proofErr w:type="spellStart"/>
      <w:r w:rsidRPr="008E5DC9">
        <w:rPr>
          <w:rFonts w:asciiTheme="majorHAnsi" w:hAnsiTheme="majorHAnsi" w:cs="Arial"/>
          <w:sz w:val="20"/>
          <w:szCs w:val="20"/>
        </w:rPr>
        <w:t>Data</w:t>
      </w:r>
      <w:proofErr w:type="spellEnd"/>
      <w:r w:rsidRPr="008E5DC9">
        <w:rPr>
          <w:rFonts w:asciiTheme="majorHAnsi" w:hAnsiTheme="majorHAnsi" w:cs="Arial"/>
          <w:sz w:val="20"/>
          <w:szCs w:val="20"/>
        </w:rPr>
        <w:t xml:space="preserve"> </w:t>
      </w:r>
      <w:proofErr w:type="spellStart"/>
      <w:r w:rsidRPr="008E5DC9">
        <w:rPr>
          <w:rFonts w:asciiTheme="majorHAnsi" w:hAnsiTheme="majorHAnsi" w:cs="Arial"/>
          <w:sz w:val="20"/>
          <w:szCs w:val="20"/>
        </w:rPr>
        <w:t>Governance</w:t>
      </w:r>
      <w:proofErr w:type="spellEnd"/>
      <w:r w:rsidRPr="008E5DC9">
        <w:rPr>
          <w:rFonts w:asciiTheme="majorHAnsi" w:hAnsiTheme="majorHAnsi" w:cs="Arial"/>
          <w:sz w:val="20"/>
          <w:szCs w:val="20"/>
        </w:rPr>
        <w:t>)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proofErr w:type="spellStart"/>
      <w:r w:rsidRPr="00EB7E2B">
        <w:rPr>
          <w:rFonts w:asciiTheme="majorHAnsi" w:hAnsiTheme="majorHAnsi" w:cs="Arial"/>
          <w:sz w:val="20"/>
          <w:szCs w:val="20"/>
        </w:rPr>
        <w:t>Master</w:t>
      </w:r>
      <w:proofErr w:type="spellEnd"/>
      <w:r w:rsidRPr="00EB7E2B">
        <w:rPr>
          <w:rFonts w:asciiTheme="majorHAnsi" w:hAnsiTheme="majorHAnsi" w:cs="Arial"/>
          <w:sz w:val="20"/>
          <w:szCs w:val="20"/>
        </w:rPr>
        <w:t xml:space="preserve"> </w:t>
      </w:r>
      <w:proofErr w:type="spellStart"/>
      <w:r w:rsidRPr="00EB7E2B">
        <w:rPr>
          <w:rFonts w:asciiTheme="majorHAnsi" w:hAnsiTheme="majorHAnsi" w:cs="Arial"/>
          <w:sz w:val="20"/>
          <w:szCs w:val="20"/>
        </w:rPr>
        <w:t>Data</w:t>
      </w:r>
      <w:proofErr w:type="spellEnd"/>
      <w:r w:rsidRPr="00EB7E2B">
        <w:rPr>
          <w:rFonts w:asciiTheme="majorHAnsi" w:hAnsiTheme="majorHAnsi" w:cs="Arial"/>
          <w:sz w:val="20"/>
          <w:szCs w:val="20"/>
        </w:rPr>
        <w:t xml:space="preserve">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w:t>
      </w:r>
      <w:proofErr w:type="spellStart"/>
      <w:r w:rsidRPr="00C20FA0">
        <w:rPr>
          <w:rFonts w:asciiTheme="majorHAnsi" w:hAnsiTheme="majorHAnsi" w:cs="Arial"/>
          <w:spacing w:val="-1"/>
          <w:sz w:val="20"/>
          <w:szCs w:val="20"/>
        </w:rPr>
        <w:t>Master</w:t>
      </w:r>
      <w:proofErr w:type="spellEnd"/>
      <w:r w:rsidRPr="00C20FA0">
        <w:rPr>
          <w:rFonts w:asciiTheme="majorHAnsi" w:hAnsiTheme="majorHAnsi" w:cs="Arial"/>
          <w:spacing w:val="-1"/>
          <w:sz w:val="20"/>
          <w:szCs w:val="20"/>
        </w:rPr>
        <w:t xml:space="preserve"> </w:t>
      </w:r>
      <w:proofErr w:type="spellStart"/>
      <w:r w:rsidRPr="00C20FA0">
        <w:rPr>
          <w:rFonts w:asciiTheme="majorHAnsi" w:hAnsiTheme="majorHAnsi" w:cs="Arial"/>
          <w:spacing w:val="-1"/>
          <w:sz w:val="20"/>
          <w:szCs w:val="20"/>
        </w:rPr>
        <w:t>Data</w:t>
      </w:r>
      <w:proofErr w:type="spellEnd"/>
      <w:r w:rsidRPr="00C20FA0">
        <w:rPr>
          <w:rFonts w:asciiTheme="majorHAnsi" w:hAnsiTheme="majorHAnsi" w:cs="Arial"/>
          <w:spacing w:val="-1"/>
          <w:sz w:val="20"/>
          <w:szCs w:val="20"/>
        </w:rPr>
        <w:t xml:space="preserve"> Management) a organizačného (</w:t>
      </w:r>
      <w:proofErr w:type="spellStart"/>
      <w:r w:rsidRPr="00C20FA0">
        <w:rPr>
          <w:rFonts w:asciiTheme="majorHAnsi" w:hAnsiTheme="majorHAnsi" w:cs="Arial"/>
          <w:spacing w:val="-1"/>
          <w:sz w:val="20"/>
          <w:szCs w:val="20"/>
        </w:rPr>
        <w:t>Data</w:t>
      </w:r>
      <w:proofErr w:type="spellEnd"/>
      <w:r w:rsidRPr="00C20FA0">
        <w:rPr>
          <w:rFonts w:asciiTheme="majorHAnsi" w:hAnsiTheme="majorHAnsi" w:cs="Arial"/>
          <w:spacing w:val="-1"/>
          <w:sz w:val="20"/>
          <w:szCs w:val="20"/>
        </w:rPr>
        <w:t xml:space="preserve"> </w:t>
      </w:r>
      <w:proofErr w:type="spellStart"/>
      <w:r w:rsidRPr="00C20FA0">
        <w:rPr>
          <w:rFonts w:asciiTheme="majorHAnsi" w:hAnsiTheme="majorHAnsi" w:cs="Arial"/>
          <w:spacing w:val="-1"/>
          <w:sz w:val="20"/>
          <w:szCs w:val="20"/>
        </w:rPr>
        <w:t>Governance</w:t>
      </w:r>
      <w:proofErr w:type="spellEnd"/>
      <w:r w:rsidRPr="00C20FA0">
        <w:rPr>
          <w:rFonts w:asciiTheme="majorHAnsi" w:hAnsiTheme="majorHAnsi" w:cs="Arial"/>
          <w:spacing w:val="-1"/>
          <w:sz w:val="20"/>
          <w:szCs w:val="20"/>
        </w:rPr>
        <w:t>)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w:t>
      </w:r>
      <w:proofErr w:type="spellStart"/>
      <w:r w:rsidRPr="00C20FA0">
        <w:rPr>
          <w:rFonts w:asciiTheme="majorHAnsi" w:hAnsiTheme="majorHAnsi" w:cs="Arial"/>
          <w:spacing w:val="-1"/>
          <w:sz w:val="20"/>
          <w:szCs w:val="20"/>
        </w:rPr>
        <w:t>best</w:t>
      </w:r>
      <w:proofErr w:type="spellEnd"/>
      <w:r w:rsidRPr="00C20FA0">
        <w:rPr>
          <w:rFonts w:asciiTheme="majorHAnsi" w:hAnsiTheme="majorHAnsi" w:cs="Arial"/>
          <w:spacing w:val="-1"/>
          <w:sz w:val="20"/>
          <w:szCs w:val="20"/>
        </w:rPr>
        <w:t> </w:t>
      </w:r>
      <w:proofErr w:type="spellStart"/>
      <w:r w:rsidRPr="00CE078F">
        <w:rPr>
          <w:rFonts w:asciiTheme="majorHAnsi" w:hAnsiTheme="majorHAnsi" w:cs="Arial"/>
          <w:spacing w:val="-1"/>
          <w:sz w:val="20"/>
          <w:szCs w:val="20"/>
        </w:rPr>
        <w:t>practices</w:t>
      </w:r>
      <w:proofErr w:type="spellEnd"/>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655D335E"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438896AF" w14:textId="77777777" w:rsidR="00350938" w:rsidRDefault="00350938"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w:t>
      </w:r>
      <w:proofErr w:type="spellStart"/>
      <w:r>
        <w:rPr>
          <w:rFonts w:asciiTheme="majorHAnsi" w:hAnsiTheme="majorHAnsi" w:cs="Arial"/>
          <w:sz w:val="20"/>
          <w:szCs w:val="20"/>
        </w:rPr>
        <w:t>Gap</w:t>
      </w:r>
      <w:proofErr w:type="spellEnd"/>
      <w:r>
        <w:rPr>
          <w:rFonts w:asciiTheme="majorHAnsi" w:hAnsiTheme="majorHAnsi" w:cs="Arial"/>
          <w:sz w:val="20"/>
          <w:szCs w:val="20"/>
        </w:rPr>
        <w:t xml:space="preserve">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w:t>
      </w:r>
      <w:proofErr w:type="spellStart"/>
      <w:r w:rsidRPr="0014687F">
        <w:rPr>
          <w:rFonts w:asciiTheme="majorHAnsi" w:hAnsiTheme="majorHAnsi" w:cs="Arial"/>
          <w:sz w:val="20"/>
          <w:szCs w:val="20"/>
        </w:rPr>
        <w:t>mitigácie</w:t>
      </w:r>
      <w:proofErr w:type="spellEnd"/>
      <w:r w:rsidRPr="0014687F">
        <w:rPr>
          <w:rFonts w:asciiTheme="majorHAnsi" w:hAnsiTheme="majorHAnsi" w:cs="Arial"/>
          <w:sz w:val="20"/>
          <w:szCs w:val="20"/>
        </w:rPr>
        <w:t xml:space="preserv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w:t>
      </w:r>
      <w:proofErr w:type="spellStart"/>
      <w:r>
        <w:rPr>
          <w:rFonts w:ascii="Cambria" w:hAnsi="Cambria" w:cs="Calibri"/>
          <w:noProof w:val="0"/>
          <w:sz w:val="20"/>
          <w:szCs w:val="20"/>
        </w:rPr>
        <w:t>best</w:t>
      </w:r>
      <w:proofErr w:type="spellEnd"/>
      <w:r>
        <w:rPr>
          <w:rFonts w:ascii="Cambria" w:hAnsi="Cambria" w:cs="Calibri"/>
          <w:noProof w:val="0"/>
          <w:sz w:val="20"/>
          <w:szCs w:val="20"/>
        </w:rPr>
        <w:t xml:space="preserve">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w:t>
      </w:r>
      <w:proofErr w:type="spellStart"/>
      <w:r>
        <w:rPr>
          <w:rFonts w:ascii="Cambria" w:hAnsi="Cambria" w:cs="Calibri"/>
          <w:sz w:val="20"/>
          <w:szCs w:val="20"/>
        </w:rPr>
        <w:t>Master</w:t>
      </w:r>
      <w:proofErr w:type="spellEnd"/>
      <w:r>
        <w:rPr>
          <w:rFonts w:ascii="Cambria" w:hAnsi="Cambria" w:cs="Calibri"/>
          <w:sz w:val="20"/>
          <w:szCs w:val="20"/>
        </w:rPr>
        <w:t xml:space="preserve"> </w:t>
      </w:r>
      <w:proofErr w:type="spellStart"/>
      <w:r>
        <w:rPr>
          <w:rFonts w:ascii="Cambria" w:hAnsi="Cambria" w:cs="Calibri"/>
          <w:sz w:val="20"/>
          <w:szCs w:val="20"/>
        </w:rPr>
        <w:t>Data</w:t>
      </w:r>
      <w:proofErr w:type="spellEnd"/>
      <w:r>
        <w:rPr>
          <w:rFonts w:ascii="Cambria" w:hAnsi="Cambria" w:cs="Calibri"/>
          <w:sz w:val="20"/>
          <w:szCs w:val="20"/>
        </w:rPr>
        <w:t xml:space="preserve">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xml:space="preserve">, pre ktoré bude vypracovaná procesná karta, mapa (diagram) procesu a návrh potrebného organizačného a personálneho zabezpečenia, vrátane odhadu jeho kapacity (FTE) a základných </w:t>
      </w:r>
      <w:proofErr w:type="spellStart"/>
      <w:r>
        <w:rPr>
          <w:rFonts w:ascii="Cambria" w:hAnsi="Cambria" w:cs="Calibri"/>
          <w:sz w:val="20"/>
          <w:szCs w:val="20"/>
        </w:rPr>
        <w:t>KPIs</w:t>
      </w:r>
      <w:proofErr w:type="spellEnd"/>
      <w:r>
        <w:rPr>
          <w:rFonts w:ascii="Cambria" w:hAnsi="Cambria" w:cs="Calibri"/>
          <w:sz w:val="20"/>
          <w:szCs w:val="20"/>
        </w:rPr>
        <w:t xml:space="preserve"> (</w:t>
      </w:r>
      <w:proofErr w:type="spellStart"/>
      <w:r>
        <w:rPr>
          <w:rFonts w:ascii="Cambria" w:hAnsi="Cambria" w:cs="Calibri"/>
          <w:sz w:val="20"/>
          <w:szCs w:val="20"/>
        </w:rPr>
        <w:t>Key</w:t>
      </w:r>
      <w:proofErr w:type="spellEnd"/>
      <w:r>
        <w:rPr>
          <w:rFonts w:ascii="Cambria" w:hAnsi="Cambria" w:cs="Calibri"/>
          <w:sz w:val="20"/>
          <w:szCs w:val="20"/>
        </w:rPr>
        <w:t xml:space="preserve"> </w:t>
      </w:r>
      <w:proofErr w:type="spellStart"/>
      <w:r>
        <w:rPr>
          <w:rFonts w:ascii="Cambria" w:hAnsi="Cambria" w:cs="Calibri"/>
          <w:sz w:val="20"/>
          <w:szCs w:val="20"/>
        </w:rPr>
        <w:t>Perofomance</w:t>
      </w:r>
      <w:proofErr w:type="spellEnd"/>
      <w:r>
        <w:rPr>
          <w:rFonts w:ascii="Cambria" w:hAnsi="Cambria" w:cs="Calibri"/>
          <w:sz w:val="20"/>
          <w:szCs w:val="20"/>
        </w:rPr>
        <w:t xml:space="preserve"> </w:t>
      </w:r>
      <w:proofErr w:type="spellStart"/>
      <w:r>
        <w:rPr>
          <w:rFonts w:ascii="Cambria" w:hAnsi="Cambria" w:cs="Calibri"/>
          <w:sz w:val="20"/>
          <w:szCs w:val="20"/>
        </w:rPr>
        <w:t>Indicators</w:t>
      </w:r>
      <w:proofErr w:type="spellEnd"/>
      <w:r>
        <w:rPr>
          <w:rFonts w:ascii="Cambria" w:hAnsi="Cambria" w:cs="Calibri"/>
          <w:sz w:val="20"/>
          <w:szCs w:val="20"/>
        </w:rPr>
        <w:t>)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w:t>
      </w:r>
      <w:proofErr w:type="spellStart"/>
      <w:r>
        <w:rPr>
          <w:rFonts w:ascii="Cambria" w:hAnsi="Cambria" w:cs="Calibri"/>
          <w:sz w:val="20"/>
          <w:szCs w:val="20"/>
        </w:rPr>
        <w:t>datasety</w:t>
      </w:r>
      <w:proofErr w:type="spellEnd"/>
      <w:r>
        <w:rPr>
          <w:rFonts w:ascii="Cambria" w:hAnsi="Cambria" w:cs="Calibri"/>
          <w:sz w:val="20"/>
          <w:szCs w:val="20"/>
        </w:rPr>
        <w:t>...)</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 xml:space="preserve">MS Office. Návrh </w:t>
      </w:r>
      <w:proofErr w:type="spellStart"/>
      <w:r w:rsidRPr="004F1A01">
        <w:rPr>
          <w:rFonts w:ascii="Cambria" w:hAnsi="Cambria" w:cs="Calibri"/>
          <w:sz w:val="20"/>
          <w:szCs w:val="20"/>
        </w:rPr>
        <w:t>Master</w:t>
      </w:r>
      <w:proofErr w:type="spellEnd"/>
      <w:r w:rsidRPr="004F1A01">
        <w:rPr>
          <w:rFonts w:ascii="Cambria" w:hAnsi="Cambria" w:cs="Calibri"/>
          <w:sz w:val="20"/>
          <w:szCs w:val="20"/>
        </w:rPr>
        <w:t xml:space="preserve"> </w:t>
      </w:r>
      <w:proofErr w:type="spellStart"/>
      <w:r w:rsidRPr="004F1A01">
        <w:rPr>
          <w:rFonts w:ascii="Cambria" w:hAnsi="Cambria" w:cs="Calibri"/>
          <w:sz w:val="20"/>
          <w:szCs w:val="20"/>
        </w:rPr>
        <w:t>Data</w:t>
      </w:r>
      <w:proofErr w:type="spellEnd"/>
      <w:r w:rsidRPr="004F1A01">
        <w:rPr>
          <w:rFonts w:ascii="Cambria" w:hAnsi="Cambria" w:cs="Calibri"/>
          <w:sz w:val="20"/>
          <w:szCs w:val="20"/>
        </w:rPr>
        <w:t xml:space="preserve"> Managementu bude obsahovať pravidlá (</w:t>
      </w:r>
      <w:proofErr w:type="spellStart"/>
      <w:r w:rsidRPr="004F1A01">
        <w:rPr>
          <w:rFonts w:ascii="Cambria" w:hAnsi="Cambria" w:cs="Calibri"/>
          <w:sz w:val="20"/>
          <w:szCs w:val="20"/>
        </w:rPr>
        <w:t>Data</w:t>
      </w:r>
      <w:proofErr w:type="spellEnd"/>
      <w:r w:rsidRPr="004F1A01">
        <w:rPr>
          <w:rFonts w:ascii="Cambria" w:hAnsi="Cambria" w:cs="Calibri"/>
          <w:sz w:val="20"/>
          <w:szCs w:val="20"/>
        </w:rPr>
        <w:t xml:space="preserve"> </w:t>
      </w:r>
      <w:proofErr w:type="spellStart"/>
      <w:r w:rsidRPr="004F1A01">
        <w:rPr>
          <w:rFonts w:ascii="Cambria" w:hAnsi="Cambria" w:cs="Calibri"/>
          <w:sz w:val="20"/>
          <w:szCs w:val="20"/>
        </w:rPr>
        <w:t>Governance</w:t>
      </w:r>
      <w:proofErr w:type="spellEnd"/>
      <w:r w:rsidRPr="004F1A01">
        <w:rPr>
          <w:rFonts w:ascii="Cambria" w:hAnsi="Cambria" w:cs="Calibri"/>
          <w:sz w:val="20"/>
          <w:szCs w:val="20"/>
        </w:rPr>
        <w:t>)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 xml:space="preserve">schémy, </w:t>
      </w:r>
      <w:proofErr w:type="spellStart"/>
      <w:r w:rsidRPr="003A653A">
        <w:rPr>
          <w:rFonts w:ascii="Cambria" w:hAnsi="Cambria" w:cs="Calibri"/>
          <w:sz w:val="20"/>
          <w:szCs w:val="20"/>
        </w:rPr>
        <w:t>datamarty</w:t>
      </w:r>
      <w:proofErr w:type="spellEnd"/>
      <w:r w:rsidRPr="003A653A">
        <w:rPr>
          <w:rFonts w:ascii="Cambria" w:hAnsi="Cambria" w:cs="Calibri"/>
          <w:sz w:val="20"/>
          <w:szCs w:val="20"/>
        </w:rPr>
        <w:t>,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xml:space="preserve">,  metódy </w:t>
      </w:r>
      <w:proofErr w:type="spellStart"/>
      <w:r>
        <w:rPr>
          <w:rFonts w:ascii="Cambria" w:hAnsi="Cambria" w:cs="Calibri"/>
          <w:sz w:val="20"/>
          <w:szCs w:val="20"/>
        </w:rPr>
        <w:t>historizácie</w:t>
      </w:r>
      <w:proofErr w:type="spellEnd"/>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w:t>
      </w:r>
      <w:proofErr w:type="spellStart"/>
      <w:r>
        <w:rPr>
          <w:rFonts w:ascii="Cambria" w:hAnsi="Cambria" w:cs="Calibri"/>
          <w:noProof w:val="0"/>
          <w:sz w:val="20"/>
          <w:szCs w:val="20"/>
        </w:rPr>
        <w:t>Datawarehouse</w:t>
      </w:r>
      <w:proofErr w:type="spellEnd"/>
      <w:r>
        <w:rPr>
          <w:rFonts w:ascii="Cambria" w:hAnsi="Cambria" w:cs="Calibri"/>
          <w:noProof w:val="0"/>
          <w:sz w:val="20"/>
          <w:szCs w:val="20"/>
        </w:rPr>
        <w:t xml:space="preserve"> (DWH) a Business </w:t>
      </w:r>
      <w:proofErr w:type="spellStart"/>
      <w:r>
        <w:rPr>
          <w:rFonts w:ascii="Cambria" w:hAnsi="Cambria" w:cs="Calibri"/>
          <w:noProof w:val="0"/>
          <w:sz w:val="20"/>
          <w:szCs w:val="20"/>
        </w:rPr>
        <w:t>Intelligence</w:t>
      </w:r>
      <w:proofErr w:type="spellEnd"/>
      <w:r>
        <w:rPr>
          <w:rFonts w:ascii="Cambria" w:hAnsi="Cambria" w:cs="Calibri"/>
          <w:noProof w:val="0"/>
          <w:sz w:val="20"/>
          <w:szCs w:val="20"/>
        </w:rPr>
        <w:t xml:space="preserve"> (BI) v NBS, vrátane odhadu jeho potrebných nákladov a možných prínosov (tzv. </w:t>
      </w:r>
      <w:proofErr w:type="spellStart"/>
      <w:r>
        <w:rPr>
          <w:rFonts w:ascii="Cambria" w:hAnsi="Cambria" w:cs="Calibri"/>
          <w:noProof w:val="0"/>
          <w:sz w:val="20"/>
          <w:szCs w:val="20"/>
        </w:rPr>
        <w:t>Cost</w:t>
      </w:r>
      <w:proofErr w:type="spellEnd"/>
      <w:r>
        <w:rPr>
          <w:rFonts w:ascii="Cambria" w:hAnsi="Cambria" w:cs="Calibri"/>
          <w:noProof w:val="0"/>
          <w:sz w:val="20"/>
          <w:szCs w:val="20"/>
        </w:rPr>
        <w:t xml:space="preserve">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 xml:space="preserve">ie a zosumarizuje </w:t>
      </w:r>
      <w:r>
        <w:rPr>
          <w:rFonts w:ascii="Cambria" w:hAnsi="Cambria" w:cs="Calibri"/>
          <w:noProof w:val="0"/>
          <w:sz w:val="20"/>
          <w:szCs w:val="20"/>
        </w:rPr>
        <w:lastRenderedPageBreak/>
        <w:t>požiadavky jednotlivých užívateľov/</w:t>
      </w:r>
      <w:proofErr w:type="spellStart"/>
      <w:r>
        <w:rPr>
          <w:rFonts w:ascii="Cambria" w:hAnsi="Cambria" w:cs="Calibri"/>
          <w:noProof w:val="0"/>
          <w:sz w:val="20"/>
          <w:szCs w:val="20"/>
        </w:rPr>
        <w:t>stakeholderov</w:t>
      </w:r>
      <w:proofErr w:type="spellEnd"/>
      <w:r>
        <w:rPr>
          <w:rFonts w:ascii="Cambria" w:hAnsi="Cambria" w:cs="Calibri"/>
          <w:noProof w:val="0"/>
          <w:sz w:val="20"/>
          <w:szCs w:val="20"/>
        </w:rPr>
        <w:t xml:space="preserve"> na dáta (zber, spracovanie, distribúciu...). Následne pripraví návrh technického riešenia pre oblasť DWH/BI v prostredí NBS, ktoré bude vychádzať s existujúcej situácie NBS a bude adresovať zistené problémy/bariéry a požiadavky jednotlivých </w:t>
      </w:r>
      <w:proofErr w:type="spellStart"/>
      <w:r>
        <w:rPr>
          <w:rFonts w:ascii="Cambria" w:hAnsi="Cambria" w:cs="Calibri"/>
          <w:noProof w:val="0"/>
          <w:sz w:val="20"/>
          <w:szCs w:val="20"/>
        </w:rPr>
        <w:t>stakeholderov</w:t>
      </w:r>
      <w:proofErr w:type="spellEnd"/>
      <w:r>
        <w:rPr>
          <w:rFonts w:ascii="Cambria" w:hAnsi="Cambria" w:cs="Calibri"/>
          <w:noProof w:val="0"/>
          <w:sz w:val="20"/>
          <w:szCs w:val="20"/>
        </w:rPr>
        <w:t>.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xml:space="preserve"> motivácia (súlad so stratégiou atď.) pre riešenie v budúcnosti, popis </w:t>
      </w:r>
      <w:proofErr w:type="spellStart"/>
      <w:r>
        <w:rPr>
          <w:rFonts w:ascii="Cambria" w:hAnsi="Cambria" w:cs="Calibri"/>
          <w:sz w:val="20"/>
          <w:szCs w:val="20"/>
        </w:rPr>
        <w:t>stakeholderov</w:t>
      </w:r>
      <w:proofErr w:type="spellEnd"/>
      <w:r>
        <w:rPr>
          <w:rFonts w:ascii="Cambria" w:hAnsi="Cambria" w:cs="Calibri"/>
          <w:sz w:val="20"/>
          <w:szCs w:val="20"/>
        </w:rPr>
        <w:t xml:space="preserve">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proofErr w:type="spellStart"/>
      <w:r>
        <w:rPr>
          <w:rFonts w:ascii="Cambria" w:hAnsi="Cambria" w:cs="Calibri"/>
          <w:sz w:val="20"/>
          <w:szCs w:val="20"/>
        </w:rPr>
        <w:t>Cost</w:t>
      </w:r>
      <w:proofErr w:type="spellEnd"/>
      <w:r>
        <w:rPr>
          <w:rFonts w:ascii="Cambria" w:hAnsi="Cambria" w:cs="Calibri"/>
          <w:sz w:val="20"/>
          <w:szCs w:val="20"/>
        </w:rPr>
        <w:t xml:space="preserve"> – Benefit Analýzu riešenia, ktorá  porovná na časovej osi (4-6r, podľa navrhovanej stratégie) vyčíslené predpokladané (TCO – </w:t>
      </w:r>
      <w:proofErr w:type="spellStart"/>
      <w:r>
        <w:rPr>
          <w:rFonts w:ascii="Cambria" w:hAnsi="Cambria" w:cs="Calibri"/>
          <w:sz w:val="20"/>
          <w:szCs w:val="20"/>
        </w:rPr>
        <w:t>Total</w:t>
      </w:r>
      <w:proofErr w:type="spellEnd"/>
      <w:r>
        <w:rPr>
          <w:rFonts w:ascii="Cambria" w:hAnsi="Cambria" w:cs="Calibri"/>
          <w:sz w:val="20"/>
          <w:szCs w:val="20"/>
        </w:rPr>
        <w:t xml:space="preserve"> </w:t>
      </w:r>
      <w:proofErr w:type="spellStart"/>
      <w:r>
        <w:rPr>
          <w:rFonts w:ascii="Cambria" w:hAnsi="Cambria" w:cs="Calibri"/>
          <w:sz w:val="20"/>
          <w:szCs w:val="20"/>
        </w:rPr>
        <w:t>Cost</w:t>
      </w:r>
      <w:proofErr w:type="spellEnd"/>
      <w:r>
        <w:rPr>
          <w:rFonts w:ascii="Cambria" w:hAnsi="Cambria" w:cs="Calibri"/>
          <w:sz w:val="20"/>
          <w:szCs w:val="20"/>
        </w:rPr>
        <w:t xml:space="preserve"> of </w:t>
      </w:r>
      <w:proofErr w:type="spellStart"/>
      <w:r>
        <w:rPr>
          <w:rFonts w:ascii="Cambria" w:hAnsi="Cambria" w:cs="Calibri"/>
          <w:sz w:val="20"/>
          <w:szCs w:val="20"/>
        </w:rPr>
        <w:t>Ownership</w:t>
      </w:r>
      <w:proofErr w:type="spellEnd"/>
      <w:r>
        <w:rPr>
          <w:rFonts w:ascii="Cambria" w:hAnsi="Cambria" w:cs="Calibri"/>
          <w:sz w:val="20"/>
          <w:szCs w:val="20"/>
        </w:rPr>
        <w:t>)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 xml:space="preserve">formáte </w:t>
      </w:r>
      <w:proofErr w:type="spellStart"/>
      <w:r>
        <w:rPr>
          <w:rFonts w:ascii="Cambria" w:hAnsi="Cambria" w:cs="Calibri"/>
          <w:noProof w:val="0"/>
          <w:sz w:val="20"/>
          <w:szCs w:val="20"/>
        </w:rPr>
        <w:t>Archimate</w:t>
      </w:r>
      <w:proofErr w:type="spellEnd"/>
      <w:r>
        <w:rPr>
          <w:rFonts w:ascii="Cambria" w:hAnsi="Cambria" w:cs="Calibri"/>
          <w:noProof w:val="0"/>
          <w:sz w:val="20"/>
          <w:szCs w:val="20"/>
        </w:rPr>
        <w:t>.</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5"/>
    <w:bookmarkEnd w:id="56"/>
    <w:bookmarkEnd w:id="57"/>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006FD4D7"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8"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w:t>
      </w:r>
      <w:r w:rsidR="00E94402">
        <w:rPr>
          <w:rFonts w:asciiTheme="majorHAnsi" w:hAnsiTheme="majorHAnsi" w:cs="Arial"/>
          <w:sz w:val="20"/>
          <w:szCs w:val="20"/>
        </w:rPr>
        <w:t xml:space="preserve"> </w:t>
      </w:r>
      <w:r w:rsidR="00796CC1" w:rsidRPr="00796CC1">
        <w:rPr>
          <w:rFonts w:asciiTheme="majorHAnsi" w:hAnsiTheme="majorHAnsi" w:cs="Arial"/>
          <w:sz w:val="20"/>
          <w:szCs w:val="20"/>
        </w:rPr>
        <w:t>Obchodného zákonníka v znení neskorších predpisov</w:t>
      </w:r>
      <w:bookmarkEnd w:id="58"/>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BA58C" w14:textId="77777777" w:rsidR="00EC66F6" w:rsidRDefault="00EC66F6">
      <w:r>
        <w:separator/>
      </w:r>
    </w:p>
  </w:endnote>
  <w:endnote w:type="continuationSeparator" w:id="0">
    <w:p w14:paraId="632701E9" w14:textId="77777777" w:rsidR="00EC66F6" w:rsidRDefault="00EC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350938" w:rsidRDefault="00350938"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350938" w:rsidRPr="00076944" w:rsidRDefault="00350938"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A5840" w14:textId="77777777" w:rsidR="00EC66F6" w:rsidRDefault="00EC66F6">
      <w:r>
        <w:separator/>
      </w:r>
    </w:p>
  </w:footnote>
  <w:footnote w:type="continuationSeparator" w:id="0">
    <w:p w14:paraId="7C6D7A9D" w14:textId="77777777" w:rsidR="00EC66F6" w:rsidRDefault="00EC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350938" w:rsidRPr="001032F6" w:rsidRDefault="00350938"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350938" w:rsidRPr="00101271" w:rsidRDefault="00350938">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350938" w:rsidRPr="00076944" w:rsidRDefault="00350938"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350938" w:rsidRDefault="00350938"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350938" w:rsidRDefault="0035093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3DD7"/>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6"/>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0938"/>
    <w:rsid w:val="0035124D"/>
    <w:rsid w:val="00351C6A"/>
    <w:rsid w:val="003536EF"/>
    <w:rsid w:val="0035376B"/>
    <w:rsid w:val="00353DF7"/>
    <w:rsid w:val="00354510"/>
    <w:rsid w:val="00354726"/>
    <w:rsid w:val="00354F52"/>
    <w:rsid w:val="0035537F"/>
    <w:rsid w:val="003556C3"/>
    <w:rsid w:val="00356176"/>
    <w:rsid w:val="003564F7"/>
    <w:rsid w:val="00356646"/>
    <w:rsid w:val="00356928"/>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235"/>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5DC"/>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78C"/>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0D91"/>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A6F0F"/>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6F6"/>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1BB0"/>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Props1.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customXml/itemProps3.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15128</Words>
  <Characters>86232</Characters>
  <Application>Microsoft Office Word</Application>
  <DocSecurity>0</DocSecurity>
  <Lines>718</Lines>
  <Paragraphs>202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Vladimír</cp:lastModifiedBy>
  <cp:revision>6</cp:revision>
  <cp:lastPrinted>2020-06-29T07:26:00Z</cp:lastPrinted>
  <dcterms:created xsi:type="dcterms:W3CDTF">2021-07-19T07:48:00Z</dcterms:created>
  <dcterms:modified xsi:type="dcterms:W3CDTF">2021-07-19T07:57:00Z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