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ECE" w14:textId="77777777" w:rsidR="008A0EF2" w:rsidRDefault="008A0EF2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636BAA39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,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5C74FA12" w14:textId="612144E2" w:rsidR="004649CB" w:rsidRPr="008A0EF2" w:rsidRDefault="004649CB" w:rsidP="004649C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2" w:history="1">
        <w:r w:rsidRPr="008A0EF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19D19652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176501A8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>
        <w:rPr>
          <w:rFonts w:ascii="Times New Roman" w:hAnsi="Times New Roman"/>
          <w:b/>
          <w:sz w:val="24"/>
          <w:szCs w:val="24"/>
          <w:u w:color="000000"/>
        </w:rPr>
        <w:t>Dodanie Jedálenských stoličiek ZOEY</w:t>
      </w:r>
      <w:r w:rsidRP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sz w:val="24"/>
          <w:szCs w:val="24"/>
          <w:u w:color="000000"/>
        </w:rPr>
        <w:t>krémová, kov ( alebo ekvivalentu)</w:t>
      </w:r>
    </w:p>
    <w:p w14:paraId="188081C9" w14:textId="17F3C316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A97581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3" w:history="1">
        <w:r w:rsidR="00A97581" w:rsidRPr="009C53E9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https://josephine.proebiz.com/sk/tender/14265/summary</w:t>
        </w:r>
      </w:hyperlink>
    </w:p>
    <w:p w14:paraId="3EEBEA31" w14:textId="77777777" w:rsidR="00A97581" w:rsidRPr="00715D53" w:rsidRDefault="00A97581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2CFFEC97" w14:textId="77777777" w:rsidR="004649CB" w:rsidRPr="00432464" w:rsidRDefault="004649CB" w:rsidP="004649CB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39113000-7 Rôzne sedadlá a stoličky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0791DC3F" w14:textId="77777777" w:rsidR="00BC6E48" w:rsidRPr="00432464" w:rsidRDefault="00BC6E48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30A26C81" w14:textId="02247DCE" w:rsidR="00715D53" w:rsidRPr="00432464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52CC051D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0F611751" w14:textId="0BA84E2F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Dodanie Jedálenských stoličiek ZOEY</w:t>
      </w:r>
      <w:r w:rsidRP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sz w:val="24"/>
          <w:szCs w:val="24"/>
          <w:u w:color="000000"/>
        </w:rPr>
        <w:t>krémová, kov ( alebo ekvivalentu)</w:t>
      </w:r>
    </w:p>
    <w:p w14:paraId="5CD1D966" w14:textId="77777777" w:rsidR="00161286" w:rsidRPr="00A97581" w:rsidRDefault="00161286" w:rsidP="00161286">
      <w:pPr>
        <w:pStyle w:val="box-detail-listitem"/>
        <w:numPr>
          <w:ilvl w:val="0"/>
          <w:numId w:val="17"/>
        </w:numPr>
        <w:shd w:val="clear" w:color="auto" w:fill="FFFFFF"/>
      </w:pPr>
      <w:r w:rsidRPr="00A97581">
        <w:t>Kvalitné čalúnenie v textilnom poťahu v dekore vintage kože</w:t>
      </w:r>
    </w:p>
    <w:p w14:paraId="798E17F6" w14:textId="77777777" w:rsidR="00161286" w:rsidRPr="00A97581" w:rsidRDefault="00161286" w:rsidP="00161286">
      <w:pPr>
        <w:pStyle w:val="box-detail-listitem"/>
        <w:numPr>
          <w:ilvl w:val="0"/>
          <w:numId w:val="17"/>
        </w:numPr>
        <w:shd w:val="clear" w:color="auto" w:fill="FFFFFF"/>
      </w:pPr>
      <w:r w:rsidRPr="00A97581">
        <w:t>Kovová perová chrómovaná podnož</w:t>
      </w:r>
    </w:p>
    <w:p w14:paraId="5B3A2683" w14:textId="77777777" w:rsidR="00161286" w:rsidRPr="00A97581" w:rsidRDefault="00161286" w:rsidP="00161286">
      <w:pPr>
        <w:pStyle w:val="box-detail-listitem"/>
        <w:numPr>
          <w:ilvl w:val="0"/>
          <w:numId w:val="17"/>
        </w:numPr>
        <w:shd w:val="clear" w:color="auto" w:fill="FFFFFF"/>
      </w:pPr>
      <w:r w:rsidRPr="00A97581">
        <w:t>Plastové klzáky eliminujúce poškodenie podlahových krytín</w:t>
      </w:r>
    </w:p>
    <w:p w14:paraId="60E44A07" w14:textId="77777777" w:rsidR="00161286" w:rsidRPr="00A97581" w:rsidRDefault="00161286" w:rsidP="00161286">
      <w:pPr>
        <w:pStyle w:val="box-detail-listitem"/>
        <w:numPr>
          <w:ilvl w:val="0"/>
          <w:numId w:val="17"/>
        </w:numPr>
        <w:shd w:val="clear" w:color="auto" w:fill="FFFFFF"/>
      </w:pPr>
      <w:r w:rsidRPr="00A97581">
        <w:t>Kovová rúčka pre ľahšiu manipuláciu so stoličkou</w:t>
      </w:r>
    </w:p>
    <w:p w14:paraId="30F8D199" w14:textId="77777777" w:rsidR="00161286" w:rsidRPr="00A97581" w:rsidRDefault="00161286" w:rsidP="00161286">
      <w:pPr>
        <w:pStyle w:val="box-detail-listitem"/>
        <w:numPr>
          <w:ilvl w:val="0"/>
          <w:numId w:val="17"/>
        </w:numPr>
        <w:shd w:val="clear" w:color="auto" w:fill="FFFFFF"/>
      </w:pPr>
      <w:r w:rsidRPr="00A97581">
        <w:t>Nosnosť 110 kg</w:t>
      </w:r>
    </w:p>
    <w:p w14:paraId="147555F1" w14:textId="77777777" w:rsidR="00161286" w:rsidRPr="00A97581" w:rsidRDefault="00161286" w:rsidP="00161286">
      <w:pPr>
        <w:pStyle w:val="Nadpis2"/>
        <w:shd w:val="clear" w:color="auto" w:fill="FFFFFF"/>
        <w:spacing w:after="90" w:line="312" w:lineRule="atLeast"/>
        <w:ind w:left="284"/>
        <w:rPr>
          <w:rFonts w:ascii="Times New Roman" w:eastAsia="Times New Roman" w:hAnsi="Times New Roman"/>
          <w:b w:val="0"/>
          <w:bCs w:val="0"/>
          <w:sz w:val="24"/>
          <w:szCs w:val="24"/>
          <w:lang w:val="sk-SK" w:eastAsia="sk-SK"/>
        </w:rPr>
      </w:pPr>
      <w:r w:rsidRPr="00A97581">
        <w:rPr>
          <w:rFonts w:ascii="Times New Roman" w:hAnsi="Times New Roman"/>
          <w:b w:val="0"/>
          <w:bCs w:val="0"/>
          <w:sz w:val="24"/>
          <w:szCs w:val="24"/>
        </w:rPr>
        <w:t>Vzhľad</w:t>
      </w:r>
    </w:p>
    <w:p w14:paraId="746EB159" w14:textId="77777777" w:rsidR="00161286" w:rsidRPr="00A97581" w:rsidRDefault="00161286" w:rsidP="00161286">
      <w:pPr>
        <w:pStyle w:val="box-detail-listitem"/>
        <w:numPr>
          <w:ilvl w:val="0"/>
          <w:numId w:val="18"/>
        </w:numPr>
        <w:shd w:val="clear" w:color="auto" w:fill="FFFFFF"/>
        <w:spacing w:after="60" w:afterAutospacing="0"/>
      </w:pPr>
      <w:r w:rsidRPr="00A97581">
        <w:t>Farba: </w:t>
      </w:r>
      <w:r w:rsidRPr="00A97581">
        <w:rPr>
          <w:rStyle w:val="box-detail-listitemvalue"/>
        </w:rPr>
        <w:t>Béžová </w:t>
      </w:r>
      <w:r w:rsidRPr="00A97581">
        <w:t>, </w:t>
      </w:r>
      <w:r w:rsidRPr="00A97581">
        <w:rPr>
          <w:rStyle w:val="box-detail-listitemvalue"/>
        </w:rPr>
        <w:t>Strieborná</w:t>
      </w:r>
    </w:p>
    <w:p w14:paraId="5596A961" w14:textId="77777777" w:rsidR="00161286" w:rsidRPr="00A97581" w:rsidRDefault="00161286" w:rsidP="00161286">
      <w:pPr>
        <w:pStyle w:val="box-detail-listitem"/>
        <w:numPr>
          <w:ilvl w:val="0"/>
          <w:numId w:val="18"/>
        </w:numPr>
        <w:shd w:val="clear" w:color="auto" w:fill="FFFFFF"/>
        <w:spacing w:after="60" w:afterAutospacing="0"/>
      </w:pPr>
      <w:r w:rsidRPr="00A97581">
        <w:lastRenderedPageBreak/>
        <w:t>Farba/dekor variantu: </w:t>
      </w:r>
      <w:r w:rsidRPr="00A97581">
        <w:rPr>
          <w:rStyle w:val="box-detail-listitemvalue"/>
        </w:rPr>
        <w:t>Krémová</w:t>
      </w:r>
    </w:p>
    <w:p w14:paraId="0FECC66F" w14:textId="77777777" w:rsidR="00161286" w:rsidRPr="00A97581" w:rsidRDefault="00161286" w:rsidP="00161286">
      <w:pPr>
        <w:pStyle w:val="box-detail-listitem"/>
        <w:numPr>
          <w:ilvl w:val="0"/>
          <w:numId w:val="18"/>
        </w:numPr>
        <w:shd w:val="clear" w:color="auto" w:fill="FFFFFF"/>
        <w:spacing w:after="60" w:afterAutospacing="0"/>
      </w:pPr>
      <w:r w:rsidRPr="00A97581">
        <w:t>Farba nôh/podstavca: </w:t>
      </w:r>
      <w:r w:rsidRPr="00A97581">
        <w:rPr>
          <w:rStyle w:val="box-detail-listitemvalue"/>
        </w:rPr>
        <w:t>Strieborná</w:t>
      </w:r>
    </w:p>
    <w:p w14:paraId="09853BC9" w14:textId="77777777" w:rsidR="00161286" w:rsidRPr="00A97581" w:rsidRDefault="00161286" w:rsidP="00161286">
      <w:pPr>
        <w:pStyle w:val="box-detail-listitem"/>
        <w:numPr>
          <w:ilvl w:val="0"/>
          <w:numId w:val="18"/>
        </w:numPr>
        <w:shd w:val="clear" w:color="auto" w:fill="FFFFFF"/>
        <w:spacing w:after="60" w:afterAutospacing="0"/>
      </w:pPr>
      <w:r w:rsidRPr="00A97581">
        <w:t>Typ podnože: </w:t>
      </w:r>
      <w:r w:rsidRPr="00A97581">
        <w:rPr>
          <w:rStyle w:val="box-detail-listitemvalue"/>
        </w:rPr>
        <w:t>Perová</w:t>
      </w:r>
    </w:p>
    <w:p w14:paraId="3BFF3F75" w14:textId="77777777" w:rsidR="00161286" w:rsidRPr="00A97581" w:rsidRDefault="00161286" w:rsidP="00161286">
      <w:pPr>
        <w:pStyle w:val="Nadpis2"/>
        <w:shd w:val="clear" w:color="auto" w:fill="FFFFFF"/>
        <w:spacing w:after="90" w:line="312" w:lineRule="atLeast"/>
        <w:ind w:left="284"/>
        <w:rPr>
          <w:rFonts w:ascii="Times New Roman" w:eastAsia="Times New Roman" w:hAnsi="Times New Roman"/>
          <w:b w:val="0"/>
          <w:bCs w:val="0"/>
          <w:sz w:val="24"/>
          <w:szCs w:val="24"/>
          <w:lang w:val="sk-SK" w:eastAsia="sk-SK"/>
        </w:rPr>
      </w:pPr>
      <w:r w:rsidRPr="00A97581">
        <w:rPr>
          <w:rFonts w:ascii="Times New Roman" w:hAnsi="Times New Roman"/>
          <w:b w:val="0"/>
          <w:bCs w:val="0"/>
          <w:sz w:val="24"/>
          <w:szCs w:val="24"/>
        </w:rPr>
        <w:t>Materiál a povrch</w:t>
      </w:r>
    </w:p>
    <w:p w14:paraId="4A3237DB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Materiál konštrukcie: </w:t>
      </w:r>
      <w:r w:rsidRPr="00A97581">
        <w:rPr>
          <w:rStyle w:val="box-detail-listitemvalue"/>
        </w:rPr>
        <w:t>Kov</w:t>
      </w:r>
    </w:p>
    <w:p w14:paraId="0395A9EC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Materiál sedadla: </w:t>
      </w:r>
      <w:r w:rsidRPr="00A97581">
        <w:rPr>
          <w:rStyle w:val="box-detail-listitemvalue"/>
        </w:rPr>
        <w:t>Pena</w:t>
      </w:r>
    </w:p>
    <w:p w14:paraId="1FA482A7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Povrchová úprava nôh/podstavca: </w:t>
      </w:r>
      <w:r w:rsidRPr="00A97581">
        <w:rPr>
          <w:rStyle w:val="box-detail-listitemvalue"/>
        </w:rPr>
        <w:t>Pochrómovaná</w:t>
      </w:r>
    </w:p>
    <w:p w14:paraId="0534F1D3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Poťah: </w:t>
      </w:r>
      <w:r w:rsidRPr="00A97581">
        <w:rPr>
          <w:rStyle w:val="box-detail-listitemvalue"/>
        </w:rPr>
        <w:t>Čalúnený</w:t>
      </w:r>
    </w:p>
    <w:p w14:paraId="5B2DE51F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Materiál poťahu: </w:t>
      </w:r>
      <w:r w:rsidRPr="00A97581">
        <w:rPr>
          <w:rStyle w:val="box-detail-listitemvalue"/>
        </w:rPr>
        <w:t>Hladká tkanina</w:t>
      </w:r>
    </w:p>
    <w:p w14:paraId="0ABBBC51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Materiál nôh: </w:t>
      </w:r>
      <w:r w:rsidRPr="00A97581">
        <w:rPr>
          <w:rStyle w:val="box-detail-listitemvalue"/>
        </w:rPr>
        <w:t>Kov</w:t>
      </w:r>
    </w:p>
    <w:p w14:paraId="5F343209" w14:textId="77777777" w:rsidR="00161286" w:rsidRPr="00A97581" w:rsidRDefault="00161286" w:rsidP="00161286">
      <w:pPr>
        <w:pStyle w:val="box-detail-listitem"/>
        <w:numPr>
          <w:ilvl w:val="0"/>
          <w:numId w:val="19"/>
        </w:numPr>
        <w:shd w:val="clear" w:color="auto" w:fill="FFFFFF"/>
        <w:spacing w:after="60" w:afterAutospacing="0"/>
      </w:pPr>
      <w:r w:rsidRPr="00A97581">
        <w:t>Materiál jadra sedadla: </w:t>
      </w:r>
      <w:r w:rsidRPr="00A97581">
        <w:rPr>
          <w:rStyle w:val="box-detail-listitemvalue"/>
        </w:rPr>
        <w:t>Pena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26B3C070" w:rsidR="007F0969" w:rsidRPr="007F0969" w:rsidRDefault="00161286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do 14 dní od doručenia objednávky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40E51349" w:rsidR="00E740E3" w:rsidRPr="00276CED" w:rsidRDefault="00161286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596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37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39003987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2BDE">
        <w:rPr>
          <w:rFonts w:ascii="Times New Roman" w:hAnsi="Times New Roman"/>
          <w:sz w:val="24"/>
          <w:szCs w:val="24"/>
        </w:rPr>
        <w:t>v zmysle bodu 1</w:t>
      </w:r>
    </w:p>
    <w:p w14:paraId="67E098EA" w14:textId="5A7DB351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</w:t>
      </w:r>
      <w:r w:rsidR="00161286">
        <w:rPr>
          <w:rFonts w:ascii="Times New Roman" w:hAnsi="Times New Roman"/>
          <w:sz w:val="24"/>
          <w:szCs w:val="24"/>
        </w:rPr>
        <w:t>do 14 dní od doručenia objednávky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2698C83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A97581">
        <w:rPr>
          <w:rFonts w:ascii="Times New Roman" w:hAnsi="Times New Roman"/>
          <w:sz w:val="24"/>
          <w:szCs w:val="24"/>
        </w:rPr>
        <w:t>nie je potrebná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6F2D1432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7777777" w:rsidR="00A97581" w:rsidRPr="00404044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05C0F618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A0EF2">
        <w:rPr>
          <w:rFonts w:ascii="Times New Roman" w:hAnsi="Times New Roman"/>
          <w:bCs/>
          <w:sz w:val="24"/>
          <w:szCs w:val="24"/>
        </w:rPr>
        <w:t>1</w:t>
      </w:r>
      <w:r w:rsidR="00A97581">
        <w:rPr>
          <w:rFonts w:ascii="Times New Roman" w:hAnsi="Times New Roman"/>
          <w:bCs/>
          <w:sz w:val="24"/>
          <w:szCs w:val="24"/>
        </w:rPr>
        <w:t>4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A97581">
        <w:rPr>
          <w:rFonts w:ascii="Times New Roman" w:hAnsi="Times New Roman"/>
          <w:bCs/>
          <w:sz w:val="24"/>
          <w:szCs w:val="24"/>
        </w:rPr>
        <w:t>9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1DC4C52E" w:rsidR="008A0EF2" w:rsidRPr="00A97581" w:rsidRDefault="000D2292" w:rsidP="006A64AB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="00A97581" w:rsidRPr="00A97581">
          <w:rPr>
            <w:rStyle w:val="Hypertextovprepojenie"/>
            <w:rFonts w:ascii="Times New Roman" w:hAnsi="Times New Roman"/>
            <w:bCs/>
            <w:sz w:val="24"/>
            <w:szCs w:val="24"/>
          </w:rPr>
          <w:t>https://josephine.proebiz.com/sk/tender/14265/summary</w:t>
        </w:r>
      </w:hyperlink>
    </w:p>
    <w:p w14:paraId="2BCEF517" w14:textId="77777777" w:rsidR="00A97581" w:rsidRPr="006A64AB" w:rsidRDefault="00A9758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305D445" w14:textId="77777777" w:rsidR="00B42BDE" w:rsidRDefault="00B42BDE" w:rsidP="00B42BDE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Cenová ponuka, vrátane jednotkových cien,</w:t>
      </w:r>
    </w:p>
    <w:p w14:paraId="61AD03C0" w14:textId="77777777" w:rsidR="00B42BDE" w:rsidRPr="00E82BF9" w:rsidRDefault="00B42BDE" w:rsidP="00B42BDE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4575CECA" w14:textId="77777777" w:rsidR="00B42BDE" w:rsidRPr="00E82BF9" w:rsidRDefault="00B42BDE" w:rsidP="00B42BDE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60EBE2CD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>Cenová ponuka, vrátane jednotkových cien</w:t>
      </w:r>
    </w:p>
    <w:p w14:paraId="3165F3C7" w14:textId="68211C9F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 ekvivalentného výrobku, odkaz na výrobcu, parametre, </w:t>
      </w:r>
    </w:p>
    <w:p w14:paraId="4F946B76" w14:textId="77777777" w:rsidR="00A97581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8803179" w14:textId="714274D0" w:rsidR="00CA1B8E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6800" w14:textId="77777777" w:rsidR="000D2292" w:rsidRDefault="000D2292" w:rsidP="003C1ABA">
      <w:r>
        <w:separator/>
      </w:r>
    </w:p>
  </w:endnote>
  <w:endnote w:type="continuationSeparator" w:id="0">
    <w:p w14:paraId="021ED6E1" w14:textId="77777777" w:rsidR="000D2292" w:rsidRDefault="000D229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4959" w14:textId="77777777" w:rsidR="000D2292" w:rsidRDefault="000D2292" w:rsidP="003C1ABA">
      <w:r>
        <w:separator/>
      </w:r>
    </w:p>
  </w:footnote>
  <w:footnote w:type="continuationSeparator" w:id="0">
    <w:p w14:paraId="6B93D4AB" w14:textId="77777777" w:rsidR="000D2292" w:rsidRDefault="000D229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2292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6130"/>
    <w:rsid w:val="00477FEF"/>
    <w:rsid w:val="004A5FB8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42BDE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2270"/>
    <w:rsid w:val="00BA5DD1"/>
    <w:rsid w:val="00BB3C74"/>
    <w:rsid w:val="00BB6C5F"/>
    <w:rsid w:val="00BC6E48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77D90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4265/sum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3445/sum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4265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5</cp:revision>
  <cp:lastPrinted>2021-09-02T08:20:00Z</cp:lastPrinted>
  <dcterms:created xsi:type="dcterms:W3CDTF">2021-09-02T06:50:00Z</dcterms:created>
  <dcterms:modified xsi:type="dcterms:W3CDTF">2021-09-02T08:21:00Z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