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BCA" w:rsidRPr="00A01B5F" w:rsidRDefault="00AB5BCA" w:rsidP="00AB5BCA">
      <w:pPr>
        <w:spacing w:after="0" w:line="240" w:lineRule="auto"/>
        <w:rPr>
          <w:b/>
          <w:sz w:val="24"/>
        </w:rPr>
      </w:pPr>
      <w:r w:rsidRPr="00A01B5F">
        <w:rPr>
          <w:b/>
          <w:sz w:val="24"/>
        </w:rPr>
        <w:t xml:space="preserve">1. </w:t>
      </w:r>
      <w:r w:rsidR="00B73645" w:rsidRPr="00A01B5F">
        <w:rPr>
          <w:b/>
          <w:sz w:val="24"/>
        </w:rPr>
        <w:t>VŠEOBECNÉ ÚDAJE O STAVBE</w:t>
      </w:r>
    </w:p>
    <w:p w:rsidR="00B73645" w:rsidRPr="00D9706E" w:rsidRDefault="00B73645" w:rsidP="00AB5BCA">
      <w:pPr>
        <w:spacing w:after="0" w:line="240" w:lineRule="auto"/>
        <w:rPr>
          <w:b/>
        </w:rPr>
      </w:pPr>
    </w:p>
    <w:p w:rsidR="00B73645" w:rsidRPr="00D9706E" w:rsidRDefault="002579E1" w:rsidP="00AB5BCA">
      <w:pPr>
        <w:spacing w:after="0" w:line="240" w:lineRule="auto"/>
        <w:rPr>
          <w:b/>
          <w:sz w:val="20"/>
          <w:szCs w:val="20"/>
        </w:rPr>
      </w:pPr>
      <w:r w:rsidRPr="00D9706E">
        <w:rPr>
          <w:b/>
          <w:sz w:val="20"/>
          <w:szCs w:val="20"/>
        </w:rPr>
        <w:t>1.1 Popis posudzovanej stavby</w:t>
      </w:r>
    </w:p>
    <w:p w:rsidR="00D9706E" w:rsidRDefault="00D9706E" w:rsidP="00900C8B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Predmetom riešenia projektovej dokumentácie je kompletná obnova kultúrneho domu s knižnicou v obci Borša v okrese Trebišov. Riešený objekt sa nachádza na parcelách C KN č. 621 a 622 v katastrálnom území Borša v obci Borša.</w:t>
      </w:r>
    </w:p>
    <w:p w:rsidR="00D9706E" w:rsidRDefault="00D9706E" w:rsidP="00900C8B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Rozsah obnovy zahŕňa zateplenie obvodového plášťa aj podstrešného priestoru, výmenu strešnej krytiny, výmenu</w:t>
      </w:r>
      <w:r w:rsidR="00102FC1">
        <w:rPr>
          <w:bCs/>
          <w:sz w:val="20"/>
          <w:szCs w:val="20"/>
        </w:rPr>
        <w:t xml:space="preserve"> výplní otvorov, klampiarskych a zámočníckych výrobkov, úpravu odkvapového chodníka, menšie dispozičné zmeny v interiéri objektu a vytvorenie vonkajšieho dvora s bezbariérovými vstupmi do kultúrnych sál. V interiéri budú nové povrchové úpravy – podlahy, omietky, podhľady, vymení sa sanita aj oceľové schodiská.</w:t>
      </w:r>
    </w:p>
    <w:p w:rsidR="00102FC1" w:rsidRDefault="00102FC1" w:rsidP="00900C8B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Posudzovaná stavby je tvaru písmená L s maximálnymi rozmermi cca 31,10 x 37,195 m. Stavba je prevažne jednopodlažná v časti vstupnej haly so sociálnymi zariadeniami je stavba dvojpodlažná a v časti pod pódiom je </w:t>
      </w:r>
      <w:r w:rsidR="00D36129">
        <w:rPr>
          <w:bCs/>
          <w:sz w:val="20"/>
          <w:szCs w:val="20"/>
        </w:rPr>
        <w:t>podpivničená. Dispozične je riešená nasledovne. Cez hlavný vstup je prístupná vstupná hala z ktorej sú ďalej prístupné dve sály, sociálne zariadenia a schodisko ktoré funkčne prepojuje druhé podlažie. Sála A je riešená ako kinosála a pod pódiom je cez schodisko prístupný suterén kde sú situované šatne pre personál a účinkujúcich. Suterén je prístupný aj z exteriéru. Sála B bude slúžiť pre miestnych občanov, potreby obecného úradu, záujmové krúžky a zábavné aktivity. Je z nej prístupná kuchyňa a cez dva schodiska aj galéria. Na 2.NP je situovaná knižnica.</w:t>
      </w:r>
    </w:p>
    <w:p w:rsidR="00D36129" w:rsidRDefault="00D36129" w:rsidP="00900C8B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Z konštrukčného hľadiska ide o murovaný stenový konštrukčný systém so železobetónovými stropmi.</w:t>
      </w:r>
      <w:r w:rsidR="002930A8">
        <w:rPr>
          <w:bCs/>
          <w:sz w:val="20"/>
          <w:szCs w:val="20"/>
        </w:rPr>
        <w:t xml:space="preserve"> Strešné konštrukcie sú riešené ako pultové s bočnými atikami. Spádová vrstva je vyhotovená pomocou oceľových priehradových väzníkov, krytina je tvorená ľahkým plechom. </w:t>
      </w:r>
    </w:p>
    <w:p w:rsidR="002930A8" w:rsidRPr="00D9706E" w:rsidRDefault="002930A8" w:rsidP="00900C8B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Účelom objektu je kultúrne zariadenie. Z hľadiska protipožiarnej bezpečnosti ide o </w:t>
      </w:r>
      <w:r w:rsidRPr="00DF476D">
        <w:rPr>
          <w:b/>
          <w:bCs/>
          <w:sz w:val="20"/>
          <w:szCs w:val="20"/>
        </w:rPr>
        <w:t>nevýrobnú stavbu</w:t>
      </w:r>
      <w:r>
        <w:rPr>
          <w:bCs/>
          <w:sz w:val="20"/>
          <w:szCs w:val="20"/>
        </w:rPr>
        <w:t xml:space="preserve"> s dvoma nadzemnými a jedným podzemným podlažím, ktorá bola dokončená pred rokom 1975. Za prvé nadzemné podlažie sa považuje podlažie v časti ASR označené ako 1.NP s výškou ±0,000. Požiarna výška nadzemnej časti je h</w:t>
      </w:r>
      <w:r w:rsidRPr="002930A8">
        <w:rPr>
          <w:bCs/>
          <w:sz w:val="20"/>
          <w:szCs w:val="20"/>
          <w:vertAlign w:val="subscript"/>
        </w:rPr>
        <w:t>np</w:t>
      </w:r>
      <w:r>
        <w:rPr>
          <w:bCs/>
          <w:sz w:val="20"/>
          <w:szCs w:val="20"/>
        </w:rPr>
        <w:t xml:space="preserve"> = 3,165 m a požiarna výška podzemnej časti h</w:t>
      </w:r>
      <w:r w:rsidRPr="002930A8">
        <w:rPr>
          <w:bCs/>
          <w:sz w:val="20"/>
          <w:szCs w:val="20"/>
          <w:vertAlign w:val="subscript"/>
        </w:rPr>
        <w:t>pp</w:t>
      </w:r>
      <w:r>
        <w:rPr>
          <w:bCs/>
          <w:sz w:val="20"/>
          <w:szCs w:val="20"/>
        </w:rPr>
        <w:t xml:space="preserve"> = 1,5m.</w:t>
      </w:r>
    </w:p>
    <w:p w:rsidR="00D9706E" w:rsidRDefault="00D9706E" w:rsidP="00900C8B">
      <w:pPr>
        <w:spacing w:after="0" w:line="240" w:lineRule="auto"/>
        <w:rPr>
          <w:bCs/>
          <w:color w:val="FF0000"/>
          <w:sz w:val="20"/>
          <w:szCs w:val="20"/>
        </w:rPr>
      </w:pPr>
    </w:p>
    <w:p w:rsidR="00F80C27" w:rsidRPr="00D9706E" w:rsidRDefault="00F80C27" w:rsidP="00AB5BCA">
      <w:pPr>
        <w:spacing w:after="0" w:line="240" w:lineRule="auto"/>
        <w:rPr>
          <w:b/>
          <w:sz w:val="20"/>
          <w:szCs w:val="20"/>
          <w:u w:val="single"/>
        </w:rPr>
      </w:pPr>
      <w:r w:rsidRPr="00D9706E">
        <w:rPr>
          <w:b/>
          <w:sz w:val="20"/>
          <w:szCs w:val="20"/>
          <w:u w:val="single"/>
        </w:rPr>
        <w:t>Obsahom projektu ASR je:</w:t>
      </w:r>
    </w:p>
    <w:p w:rsidR="00AB5BCA" w:rsidRPr="00D9706E" w:rsidRDefault="00F80C27" w:rsidP="00AB5BCA">
      <w:pPr>
        <w:spacing w:after="0" w:line="240" w:lineRule="auto"/>
        <w:rPr>
          <w:bCs/>
          <w:sz w:val="20"/>
          <w:szCs w:val="20"/>
        </w:rPr>
      </w:pPr>
      <w:r w:rsidRPr="00D9706E">
        <w:rPr>
          <w:bCs/>
          <w:sz w:val="20"/>
          <w:szCs w:val="20"/>
        </w:rPr>
        <w:tab/>
        <w:t xml:space="preserve">- </w:t>
      </w:r>
      <w:r w:rsidR="002731A2" w:rsidRPr="00D9706E">
        <w:rPr>
          <w:bCs/>
          <w:sz w:val="20"/>
          <w:szCs w:val="20"/>
        </w:rPr>
        <w:t>dispozičné zmeny</w:t>
      </w:r>
      <w:r w:rsidR="00D9706E" w:rsidRPr="00D9706E">
        <w:rPr>
          <w:bCs/>
          <w:sz w:val="20"/>
          <w:szCs w:val="20"/>
        </w:rPr>
        <w:t xml:space="preserve"> v zmysle ASR</w:t>
      </w:r>
    </w:p>
    <w:p w:rsidR="00D9706E" w:rsidRPr="00D9706E" w:rsidRDefault="00D9706E" w:rsidP="00AB5BCA">
      <w:pPr>
        <w:spacing w:after="0" w:line="240" w:lineRule="auto"/>
        <w:rPr>
          <w:bCs/>
          <w:sz w:val="20"/>
          <w:szCs w:val="20"/>
        </w:rPr>
      </w:pPr>
      <w:r w:rsidRPr="00D9706E">
        <w:rPr>
          <w:bCs/>
          <w:sz w:val="20"/>
          <w:szCs w:val="20"/>
        </w:rPr>
        <w:tab/>
        <w:t>- zateplenie obvodového plášťa</w:t>
      </w:r>
    </w:p>
    <w:p w:rsidR="00D9706E" w:rsidRDefault="00D9706E" w:rsidP="00AB5BCA">
      <w:pPr>
        <w:spacing w:after="0" w:line="240" w:lineRule="auto"/>
        <w:rPr>
          <w:bCs/>
          <w:sz w:val="20"/>
          <w:szCs w:val="20"/>
        </w:rPr>
      </w:pPr>
      <w:r w:rsidRPr="00D9706E">
        <w:rPr>
          <w:bCs/>
          <w:sz w:val="20"/>
          <w:szCs w:val="20"/>
        </w:rPr>
        <w:tab/>
        <w:t>- zateple</w:t>
      </w:r>
      <w:r>
        <w:rPr>
          <w:bCs/>
          <w:sz w:val="20"/>
          <w:szCs w:val="20"/>
        </w:rPr>
        <w:t>nie stropu</w:t>
      </w:r>
    </w:p>
    <w:p w:rsidR="00D9706E" w:rsidRPr="00D9706E" w:rsidRDefault="00D9706E" w:rsidP="00AB5BCA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- výmena strešn</w:t>
      </w:r>
      <w:r w:rsidR="00102FC1">
        <w:rPr>
          <w:bCs/>
          <w:sz w:val="20"/>
          <w:szCs w:val="20"/>
        </w:rPr>
        <w:t>ej krytiny</w:t>
      </w:r>
    </w:p>
    <w:p w:rsidR="00F80C27" w:rsidRPr="00D9706E" w:rsidRDefault="00F80C27" w:rsidP="00AB5BCA">
      <w:pPr>
        <w:spacing w:after="0" w:line="240" w:lineRule="auto"/>
        <w:rPr>
          <w:bCs/>
          <w:sz w:val="20"/>
          <w:szCs w:val="20"/>
        </w:rPr>
      </w:pPr>
      <w:r w:rsidRPr="00D9706E">
        <w:rPr>
          <w:bCs/>
          <w:sz w:val="20"/>
          <w:szCs w:val="20"/>
        </w:rPr>
        <w:tab/>
        <w:t xml:space="preserve">- </w:t>
      </w:r>
      <w:r w:rsidR="000A2DBE" w:rsidRPr="00D9706E">
        <w:rPr>
          <w:bCs/>
          <w:sz w:val="20"/>
          <w:szCs w:val="20"/>
        </w:rPr>
        <w:t>nové povrchové úpravy</w:t>
      </w:r>
    </w:p>
    <w:p w:rsidR="00D9706E" w:rsidRPr="00D9706E" w:rsidRDefault="00D9706E" w:rsidP="00AB5BCA">
      <w:pPr>
        <w:spacing w:after="0" w:line="240" w:lineRule="auto"/>
        <w:rPr>
          <w:bCs/>
          <w:sz w:val="20"/>
          <w:szCs w:val="20"/>
        </w:rPr>
      </w:pPr>
      <w:r w:rsidRPr="00D9706E">
        <w:rPr>
          <w:bCs/>
          <w:sz w:val="20"/>
          <w:szCs w:val="20"/>
        </w:rPr>
        <w:tab/>
        <w:t>- výmena okien a dverí</w:t>
      </w:r>
    </w:p>
    <w:p w:rsidR="00D9706E" w:rsidRPr="00D9706E" w:rsidRDefault="00D9706E" w:rsidP="00AB5BCA">
      <w:pPr>
        <w:spacing w:after="0" w:line="240" w:lineRule="auto"/>
        <w:rPr>
          <w:bCs/>
          <w:sz w:val="20"/>
          <w:szCs w:val="20"/>
        </w:rPr>
      </w:pPr>
      <w:r w:rsidRPr="00D9706E">
        <w:rPr>
          <w:bCs/>
          <w:sz w:val="20"/>
          <w:szCs w:val="20"/>
        </w:rPr>
        <w:tab/>
        <w:t>- vybúranie nových otvorov a osadenie nových okien</w:t>
      </w:r>
    </w:p>
    <w:p w:rsidR="00D9706E" w:rsidRDefault="00D9706E" w:rsidP="00AB5BCA">
      <w:pPr>
        <w:spacing w:after="0" w:line="240" w:lineRule="auto"/>
        <w:rPr>
          <w:bCs/>
          <w:sz w:val="20"/>
          <w:szCs w:val="20"/>
        </w:rPr>
      </w:pPr>
      <w:r w:rsidRPr="00D9706E">
        <w:rPr>
          <w:bCs/>
          <w:sz w:val="20"/>
          <w:szCs w:val="20"/>
        </w:rPr>
        <w:tab/>
        <w:t xml:space="preserve">- výmena dotknutých klampiarskych </w:t>
      </w:r>
      <w:r>
        <w:rPr>
          <w:bCs/>
          <w:sz w:val="20"/>
          <w:szCs w:val="20"/>
        </w:rPr>
        <w:t>prvkov</w:t>
      </w:r>
    </w:p>
    <w:p w:rsidR="00D9706E" w:rsidRDefault="00D9706E" w:rsidP="00AB5BCA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- výmena dotknutých zámočníckych prvkov</w:t>
      </w:r>
    </w:p>
    <w:p w:rsidR="00D9706E" w:rsidRDefault="00D9706E" w:rsidP="00AB5BCA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- úprava odkvapového chodníka</w:t>
      </w:r>
    </w:p>
    <w:p w:rsidR="00D9706E" w:rsidRPr="00D9706E" w:rsidRDefault="00D9706E" w:rsidP="00AB5BCA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- vytvorenie bezbariérových vstupov</w:t>
      </w:r>
    </w:p>
    <w:p w:rsidR="00F80C27" w:rsidRPr="00D9706E" w:rsidRDefault="00F80C27" w:rsidP="00AB5BCA">
      <w:pPr>
        <w:spacing w:after="0" w:line="240" w:lineRule="auto"/>
        <w:rPr>
          <w:bCs/>
          <w:sz w:val="20"/>
          <w:szCs w:val="20"/>
        </w:rPr>
      </w:pPr>
    </w:p>
    <w:p w:rsidR="00F80C27" w:rsidRPr="00D9706E" w:rsidRDefault="00F80C27" w:rsidP="00AB5BCA">
      <w:pPr>
        <w:spacing w:after="0" w:line="240" w:lineRule="auto"/>
        <w:rPr>
          <w:bCs/>
          <w:sz w:val="20"/>
          <w:szCs w:val="20"/>
        </w:rPr>
      </w:pPr>
      <w:r w:rsidRPr="00D9706E">
        <w:rPr>
          <w:bCs/>
          <w:sz w:val="20"/>
          <w:szCs w:val="20"/>
        </w:rPr>
        <w:t>Investor nepredložil pôvodne riešenie protipožiarnej bezpečnosti stavby</w:t>
      </w:r>
    </w:p>
    <w:p w:rsidR="00F80C27" w:rsidRPr="002D0AA5" w:rsidRDefault="00F80C27" w:rsidP="00AB5BCA">
      <w:pPr>
        <w:spacing w:after="0" w:line="240" w:lineRule="auto"/>
        <w:rPr>
          <w:bCs/>
          <w:color w:val="FF0000"/>
          <w:sz w:val="20"/>
          <w:szCs w:val="20"/>
        </w:rPr>
      </w:pPr>
    </w:p>
    <w:p w:rsidR="00F80C27" w:rsidRPr="002D0AA5" w:rsidRDefault="00F80C27" w:rsidP="00AB5BCA">
      <w:pPr>
        <w:spacing w:after="0" w:line="240" w:lineRule="auto"/>
        <w:rPr>
          <w:b/>
          <w:sz w:val="20"/>
          <w:szCs w:val="20"/>
        </w:rPr>
      </w:pPr>
      <w:r w:rsidRPr="002D0AA5">
        <w:rPr>
          <w:b/>
          <w:sz w:val="20"/>
          <w:szCs w:val="20"/>
        </w:rPr>
        <w:t>1.2 Použitý právny predpis</w:t>
      </w:r>
    </w:p>
    <w:p w:rsidR="003F3A21" w:rsidRPr="002D0AA5" w:rsidRDefault="003F3A21" w:rsidP="003F3A21">
      <w:pPr>
        <w:spacing w:after="0" w:line="240" w:lineRule="auto"/>
        <w:rPr>
          <w:bCs/>
          <w:sz w:val="20"/>
          <w:szCs w:val="20"/>
        </w:rPr>
      </w:pPr>
      <w:r w:rsidRPr="002D0AA5">
        <w:rPr>
          <w:bCs/>
          <w:sz w:val="20"/>
          <w:szCs w:val="20"/>
        </w:rPr>
        <w:t>Predmetná stavba bude posúdená v zmysle:</w:t>
      </w:r>
    </w:p>
    <w:p w:rsidR="003F3A21" w:rsidRPr="002D0AA5" w:rsidRDefault="003F3A21" w:rsidP="003F3A21">
      <w:pPr>
        <w:spacing w:after="0" w:line="240" w:lineRule="auto"/>
        <w:rPr>
          <w:bCs/>
          <w:sz w:val="20"/>
          <w:szCs w:val="20"/>
        </w:rPr>
      </w:pPr>
      <w:r w:rsidRPr="002D0AA5">
        <w:rPr>
          <w:bCs/>
          <w:sz w:val="20"/>
          <w:szCs w:val="20"/>
        </w:rPr>
        <w:t xml:space="preserve">     </w:t>
      </w:r>
      <w:r w:rsidRPr="002D0AA5">
        <w:rPr>
          <w:b/>
          <w:bCs/>
          <w:sz w:val="20"/>
          <w:szCs w:val="20"/>
        </w:rPr>
        <w:t>- Vyhlášky MVSR č. 94/2004 Z. z</w:t>
      </w:r>
      <w:r w:rsidRPr="002D0AA5">
        <w:rPr>
          <w:bCs/>
          <w:sz w:val="20"/>
          <w:szCs w:val="20"/>
        </w:rPr>
        <w:t xml:space="preserve">. v znení neskorších predpisov, ktorou sa ustanovujú požiadavky na požiarnu </w:t>
      </w:r>
    </w:p>
    <w:p w:rsidR="003F3A21" w:rsidRPr="002D0AA5" w:rsidRDefault="003F3A21" w:rsidP="003F3A21">
      <w:pPr>
        <w:spacing w:after="0" w:line="240" w:lineRule="auto"/>
        <w:rPr>
          <w:bCs/>
          <w:sz w:val="20"/>
          <w:szCs w:val="20"/>
        </w:rPr>
      </w:pPr>
      <w:r w:rsidRPr="002D0AA5">
        <w:rPr>
          <w:bCs/>
          <w:sz w:val="20"/>
          <w:szCs w:val="20"/>
        </w:rPr>
        <w:t xml:space="preserve">     bezpečnosť pri výstavbe a pri užívaní stavieb,</w:t>
      </w:r>
    </w:p>
    <w:p w:rsidR="003F3A21" w:rsidRPr="002D0AA5" w:rsidRDefault="003F3A21" w:rsidP="003F3A21">
      <w:pPr>
        <w:spacing w:after="0" w:line="240" w:lineRule="auto"/>
        <w:rPr>
          <w:bCs/>
          <w:sz w:val="20"/>
          <w:szCs w:val="20"/>
        </w:rPr>
      </w:pPr>
      <w:r w:rsidRPr="002D0AA5">
        <w:rPr>
          <w:bCs/>
          <w:sz w:val="20"/>
          <w:szCs w:val="20"/>
        </w:rPr>
        <w:t xml:space="preserve">     </w:t>
      </w:r>
      <w:r w:rsidRPr="002D0AA5">
        <w:rPr>
          <w:b/>
          <w:bCs/>
          <w:sz w:val="20"/>
          <w:szCs w:val="20"/>
        </w:rPr>
        <w:t>- STN 73 0834/Z2:09-2015</w:t>
      </w:r>
      <w:r w:rsidRPr="002D0AA5">
        <w:rPr>
          <w:bCs/>
          <w:sz w:val="20"/>
          <w:szCs w:val="20"/>
        </w:rPr>
        <w:t xml:space="preserve"> – PBS: Zmeny stavieb</w:t>
      </w:r>
    </w:p>
    <w:p w:rsidR="003F3A21" w:rsidRPr="002D0AA5" w:rsidRDefault="003F3A21" w:rsidP="003F3A21">
      <w:pPr>
        <w:spacing w:after="0" w:line="240" w:lineRule="auto"/>
        <w:rPr>
          <w:bCs/>
          <w:sz w:val="20"/>
          <w:szCs w:val="20"/>
        </w:rPr>
      </w:pPr>
      <w:r w:rsidRPr="002D0AA5">
        <w:rPr>
          <w:bCs/>
          <w:sz w:val="20"/>
          <w:szCs w:val="20"/>
        </w:rPr>
        <w:t xml:space="preserve">     </w:t>
      </w:r>
      <w:r w:rsidRPr="002D0AA5">
        <w:rPr>
          <w:b/>
          <w:bCs/>
          <w:sz w:val="20"/>
          <w:szCs w:val="20"/>
        </w:rPr>
        <w:t>- STN 73 0802/Z2/O3:05-2017</w:t>
      </w:r>
      <w:r w:rsidRPr="002D0AA5">
        <w:rPr>
          <w:bCs/>
          <w:sz w:val="20"/>
          <w:szCs w:val="20"/>
        </w:rPr>
        <w:t xml:space="preserve"> – PBS: Spoločné ustanovenia</w:t>
      </w:r>
    </w:p>
    <w:p w:rsidR="002D0AA5" w:rsidRPr="002D0AA5" w:rsidRDefault="002D0AA5" w:rsidP="003F3A21">
      <w:pPr>
        <w:spacing w:after="0" w:line="240" w:lineRule="auto"/>
        <w:rPr>
          <w:bCs/>
          <w:sz w:val="20"/>
          <w:szCs w:val="20"/>
        </w:rPr>
      </w:pPr>
      <w:r w:rsidRPr="002D0AA5">
        <w:rPr>
          <w:bCs/>
          <w:sz w:val="20"/>
          <w:szCs w:val="20"/>
        </w:rPr>
        <w:t xml:space="preserve">     - </w:t>
      </w:r>
      <w:r w:rsidRPr="002D0AA5">
        <w:rPr>
          <w:b/>
          <w:bCs/>
          <w:sz w:val="20"/>
          <w:szCs w:val="20"/>
        </w:rPr>
        <w:t>STN 92 0241/Z1:12-2012</w:t>
      </w:r>
      <w:r w:rsidRPr="002D0AA5">
        <w:rPr>
          <w:bCs/>
          <w:sz w:val="20"/>
          <w:szCs w:val="20"/>
        </w:rPr>
        <w:t xml:space="preserve"> – PBS: Obsadenie stavieb osobami</w:t>
      </w:r>
    </w:p>
    <w:p w:rsidR="003F3A21" w:rsidRDefault="003F3A21" w:rsidP="00AB5BCA">
      <w:pPr>
        <w:spacing w:after="0" w:line="240" w:lineRule="auto"/>
        <w:rPr>
          <w:bCs/>
          <w:sz w:val="20"/>
          <w:szCs w:val="20"/>
        </w:rPr>
      </w:pPr>
    </w:p>
    <w:p w:rsidR="00403CB3" w:rsidRPr="00403CB3" w:rsidRDefault="00403CB3" w:rsidP="00AB5BCA">
      <w:pPr>
        <w:spacing w:after="0" w:line="240" w:lineRule="auto"/>
        <w:rPr>
          <w:b/>
          <w:bCs/>
          <w:sz w:val="20"/>
          <w:szCs w:val="20"/>
        </w:rPr>
      </w:pPr>
      <w:r w:rsidRPr="00403CB3">
        <w:rPr>
          <w:b/>
          <w:bCs/>
          <w:sz w:val="20"/>
          <w:szCs w:val="20"/>
        </w:rPr>
        <w:t>1.3 Protipožiarna bezpečnosť stavby – zmena stavby</w:t>
      </w:r>
    </w:p>
    <w:p w:rsidR="00F80C27" w:rsidRDefault="00DA263A" w:rsidP="00AB5BCA">
      <w:pPr>
        <w:spacing w:after="0" w:line="240" w:lineRule="auto"/>
        <w:rPr>
          <w:rFonts w:cstheme="minorHAnsi"/>
          <w:bCs/>
          <w:sz w:val="20"/>
          <w:szCs w:val="20"/>
        </w:rPr>
      </w:pPr>
      <w:r>
        <w:rPr>
          <w:bCs/>
          <w:sz w:val="20"/>
          <w:szCs w:val="20"/>
        </w:rPr>
        <w:t xml:space="preserve">V zmysle </w:t>
      </w:r>
      <w:r>
        <w:rPr>
          <w:rFonts w:cstheme="minorHAnsi"/>
          <w:bCs/>
          <w:sz w:val="20"/>
          <w:szCs w:val="20"/>
        </w:rPr>
        <w:t>Vyhlášky MVSR č. 94/2004 Z. z. v znení neskorších predpisov</w:t>
      </w:r>
      <w:r w:rsidR="00814500">
        <w:rPr>
          <w:rFonts w:cstheme="minorHAnsi"/>
          <w:bCs/>
          <w:sz w:val="20"/>
          <w:szCs w:val="20"/>
        </w:rPr>
        <w:t xml:space="preserve"> § 98 ods. 2</w:t>
      </w:r>
      <w:r>
        <w:rPr>
          <w:rFonts w:cstheme="minorHAnsi"/>
          <w:bCs/>
          <w:sz w:val="20"/>
          <w:szCs w:val="20"/>
        </w:rPr>
        <w:t xml:space="preserve"> je predmetné riešenie protipožiarnej bezpečnosti stavby  riešené podľa STN 73 0834/Z2:09-2015.</w:t>
      </w:r>
    </w:p>
    <w:p w:rsidR="005D1FBD" w:rsidRDefault="005D1FBD" w:rsidP="00AB5BCA">
      <w:pPr>
        <w:spacing w:after="0" w:line="240" w:lineRule="auto"/>
        <w:rPr>
          <w:bCs/>
          <w:sz w:val="20"/>
          <w:szCs w:val="20"/>
        </w:rPr>
      </w:pPr>
    </w:p>
    <w:tbl>
      <w:tblPr>
        <w:tblStyle w:val="Mriekatabuky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8"/>
        <w:gridCol w:w="880"/>
        <w:gridCol w:w="880"/>
        <w:gridCol w:w="900"/>
        <w:gridCol w:w="894"/>
        <w:gridCol w:w="894"/>
        <w:gridCol w:w="902"/>
        <w:gridCol w:w="892"/>
        <w:gridCol w:w="898"/>
      </w:tblGrid>
      <w:tr w:rsidR="003F7DB0" w:rsidTr="00FE6F38">
        <w:tc>
          <w:tcPr>
            <w:tcW w:w="2498" w:type="dxa"/>
            <w:tcBorders>
              <w:top w:val="single" w:sz="4" w:space="0" w:color="auto"/>
            </w:tcBorders>
            <w:vAlign w:val="center"/>
          </w:tcPr>
          <w:p w:rsidR="003F7DB0" w:rsidRPr="0079288C" w:rsidRDefault="003F7DB0" w:rsidP="003F7DB0">
            <w:pPr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Riešenie požiarneho úseku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center"/>
          </w:tcPr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z w:val="20"/>
                <w:szCs w:val="20"/>
                <w:vertAlign w:val="subscript"/>
              </w:rPr>
              <w:t>n</w:t>
            </w:r>
          </w:p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(kg.m</w:t>
            </w:r>
            <w:r w:rsidRPr="0079288C">
              <w:rPr>
                <w:b/>
                <w:bCs/>
                <w:sz w:val="20"/>
                <w:szCs w:val="20"/>
                <w:vertAlign w:val="superscript"/>
              </w:rPr>
              <w:t>-2</w:t>
            </w:r>
            <w:r w:rsidRPr="0079288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center"/>
          </w:tcPr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  <w:vertAlign w:val="subscript"/>
              </w:rPr>
              <w:t>n</w:t>
            </w:r>
          </w:p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(-</w:t>
            </w:r>
            <w:r w:rsidRPr="0079288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p</w:t>
            </w:r>
            <w:r w:rsidRPr="0079288C">
              <w:rPr>
                <w:b/>
                <w:bCs/>
                <w:sz w:val="20"/>
                <w:szCs w:val="20"/>
                <w:vertAlign w:val="subscript"/>
              </w:rPr>
              <w:t>v</w:t>
            </w:r>
          </w:p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(kg.m</w:t>
            </w:r>
            <w:r w:rsidRPr="0079288C">
              <w:rPr>
                <w:b/>
                <w:bCs/>
                <w:sz w:val="20"/>
                <w:szCs w:val="20"/>
                <w:vertAlign w:val="superscript"/>
              </w:rPr>
              <w:t>-2</w:t>
            </w:r>
            <w:r w:rsidRPr="0079288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a</w:t>
            </w:r>
          </w:p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(-)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b</w:t>
            </w:r>
          </w:p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(-)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S</w:t>
            </w:r>
            <w:r w:rsidRPr="0079288C">
              <w:rPr>
                <w:b/>
                <w:bCs/>
                <w:sz w:val="20"/>
                <w:szCs w:val="20"/>
                <w:vertAlign w:val="subscript"/>
              </w:rPr>
              <w:t>skut</w:t>
            </w:r>
          </w:p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(m</w:t>
            </w:r>
            <w:r w:rsidRPr="0079288C">
              <w:rPr>
                <w:b/>
                <w:bCs/>
                <w:sz w:val="20"/>
                <w:szCs w:val="20"/>
                <w:vertAlign w:val="superscript"/>
              </w:rPr>
              <w:t>2</w:t>
            </w:r>
            <w:r w:rsidRPr="0079288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 w:rsidRPr="0079288C">
              <w:rPr>
                <w:b/>
                <w:bCs/>
                <w:sz w:val="20"/>
                <w:szCs w:val="20"/>
              </w:rPr>
              <w:t>SPB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3F7DB0" w:rsidRPr="0079288C" w:rsidRDefault="003F7DB0" w:rsidP="003F7D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počet osôb</w:t>
            </w:r>
          </w:p>
        </w:tc>
      </w:tr>
      <w:tr w:rsidR="003F7DB0" w:rsidTr="003F7DB0">
        <w:tc>
          <w:tcPr>
            <w:tcW w:w="2498" w:type="dxa"/>
          </w:tcPr>
          <w:p w:rsidR="003F7DB0" w:rsidRDefault="003F7DB0" w:rsidP="003F7D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Starý stav</w:t>
            </w:r>
          </w:p>
        </w:tc>
        <w:tc>
          <w:tcPr>
            <w:tcW w:w="880" w:type="dxa"/>
          </w:tcPr>
          <w:p w:rsidR="003F7DB0" w:rsidRDefault="002D0AA5" w:rsidP="003F7D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36,50</w:t>
            </w:r>
          </w:p>
        </w:tc>
        <w:tc>
          <w:tcPr>
            <w:tcW w:w="880" w:type="dxa"/>
          </w:tcPr>
          <w:p w:rsidR="003F7DB0" w:rsidRDefault="003F7DB0" w:rsidP="003F7D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1,05</w:t>
            </w:r>
          </w:p>
        </w:tc>
        <w:tc>
          <w:tcPr>
            <w:tcW w:w="900" w:type="dxa"/>
            <w:vAlign w:val="center"/>
          </w:tcPr>
          <w:p w:rsidR="003F7DB0" w:rsidRDefault="002D0AA5" w:rsidP="003F7D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60,55</w:t>
            </w:r>
          </w:p>
        </w:tc>
        <w:tc>
          <w:tcPr>
            <w:tcW w:w="894" w:type="dxa"/>
            <w:vAlign w:val="center"/>
          </w:tcPr>
          <w:p w:rsidR="003F7DB0" w:rsidRDefault="003F7DB0" w:rsidP="002D0A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  <w:r w:rsidR="002D0AA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4" w:type="dxa"/>
            <w:vAlign w:val="center"/>
          </w:tcPr>
          <w:p w:rsidR="003F7DB0" w:rsidRDefault="003F7DB0" w:rsidP="002D0A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</w:t>
            </w:r>
            <w:r w:rsidR="002D0AA5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902" w:type="dxa"/>
            <w:vAlign w:val="center"/>
          </w:tcPr>
          <w:p w:rsidR="003F7DB0" w:rsidRDefault="002D0AA5" w:rsidP="003F7D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773,97</w:t>
            </w:r>
          </w:p>
        </w:tc>
        <w:tc>
          <w:tcPr>
            <w:tcW w:w="892" w:type="dxa"/>
            <w:vAlign w:val="center"/>
          </w:tcPr>
          <w:p w:rsidR="003F7DB0" w:rsidRDefault="002D0AA5" w:rsidP="003F7D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</w:t>
            </w:r>
            <w:r w:rsidR="003F7DB0">
              <w:rPr>
                <w:bCs/>
                <w:sz w:val="20"/>
                <w:szCs w:val="20"/>
              </w:rPr>
              <w:t>II.</w:t>
            </w:r>
          </w:p>
        </w:tc>
        <w:tc>
          <w:tcPr>
            <w:tcW w:w="898" w:type="dxa"/>
          </w:tcPr>
          <w:p w:rsidR="003F7DB0" w:rsidRDefault="003F7DB0" w:rsidP="002D0A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2D0AA5">
              <w:rPr>
                <w:bCs/>
                <w:sz w:val="20"/>
                <w:szCs w:val="20"/>
              </w:rPr>
              <w:t>84</w:t>
            </w:r>
          </w:p>
        </w:tc>
      </w:tr>
      <w:tr w:rsidR="003F7DB0" w:rsidTr="003F7DB0">
        <w:tc>
          <w:tcPr>
            <w:tcW w:w="2498" w:type="dxa"/>
            <w:tcBorders>
              <w:bottom w:val="single" w:sz="4" w:space="0" w:color="auto"/>
            </w:tcBorders>
          </w:tcPr>
          <w:p w:rsidR="003F7DB0" w:rsidRDefault="003F7DB0" w:rsidP="003F7D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Nový stav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3F7DB0" w:rsidRDefault="003F7DB0" w:rsidP="002D0A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2D0AA5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>,</w:t>
            </w:r>
            <w:r w:rsidR="002D0AA5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3F7DB0" w:rsidRDefault="003F7DB0" w:rsidP="002D0A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  <w:r w:rsidR="002D0AA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7DB0" w:rsidRDefault="003F7DB0" w:rsidP="002D0A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2D0AA5"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</w:rPr>
              <w:t>,</w:t>
            </w:r>
            <w:r w:rsidR="002D0AA5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3F7DB0" w:rsidRDefault="003F7DB0" w:rsidP="002D0A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  <w:r w:rsidR="002D0AA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3F7DB0" w:rsidRDefault="003F7DB0" w:rsidP="002D0A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2D0AA5">
              <w:rPr>
                <w:bCs/>
                <w:sz w:val="20"/>
                <w:szCs w:val="20"/>
              </w:rPr>
              <w:t>,26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3F7DB0" w:rsidRDefault="002D0AA5" w:rsidP="002D0A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761</w:t>
            </w:r>
            <w:r w:rsidR="003F7DB0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3F7DB0" w:rsidRDefault="003F7DB0" w:rsidP="003F7D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II.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3F7DB0" w:rsidRDefault="002D0AA5" w:rsidP="003F7D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</w:tr>
    </w:tbl>
    <w:p w:rsidR="005D1FBD" w:rsidRDefault="005D1FBD" w:rsidP="00AB5BCA">
      <w:pPr>
        <w:spacing w:after="0" w:line="240" w:lineRule="auto"/>
        <w:rPr>
          <w:bCs/>
          <w:sz w:val="20"/>
          <w:szCs w:val="20"/>
        </w:rPr>
      </w:pPr>
    </w:p>
    <w:p w:rsidR="00A56B2E" w:rsidRDefault="00DC3BA4" w:rsidP="003F7DB0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Hodnoty v tabuľkách sú stanovené výpočtom v Prílohe č.1 pre starý stav a v Prílohe č.2 pre nový stav.</w:t>
      </w:r>
    </w:p>
    <w:p w:rsidR="008065E2" w:rsidRDefault="008065E2" w:rsidP="003F7DB0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V zmysle STN 73 0834/Z2:09-2015 čl. 2.1.2 zmena stavby alebo prevádzky je z hľadiska požiarnej bezpečnosti stavieb iba zmena funkcie, ktorá vedie k:</w:t>
      </w:r>
    </w:p>
    <w:p w:rsidR="00A56B2E" w:rsidRDefault="008065E2" w:rsidP="003F7DB0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</w:p>
    <w:tbl>
      <w:tblPr>
        <w:tblStyle w:val="Mriekatabuky"/>
        <w:tblW w:w="9071" w:type="dxa"/>
        <w:tblLook w:val="04A0" w:firstRow="1" w:lastRow="0" w:firstColumn="1" w:lastColumn="0" w:noHBand="0" w:noVBand="1"/>
      </w:tblPr>
      <w:tblGrid>
        <w:gridCol w:w="567"/>
        <w:gridCol w:w="6236"/>
        <w:gridCol w:w="2268"/>
      </w:tblGrid>
      <w:tr w:rsidR="008065E2" w:rsidTr="008065E2">
        <w:trPr>
          <w:trHeight w:val="283"/>
        </w:trPr>
        <w:tc>
          <w:tcPr>
            <w:tcW w:w="567" w:type="dxa"/>
            <w:vAlign w:val="center"/>
          </w:tcPr>
          <w:p w:rsidR="008065E2" w:rsidRDefault="008065E2" w:rsidP="008065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</w:t>
            </w:r>
          </w:p>
        </w:tc>
        <w:tc>
          <w:tcPr>
            <w:tcW w:w="6236" w:type="dxa"/>
          </w:tcPr>
          <w:p w:rsidR="008065E2" w:rsidRDefault="008065E2" w:rsidP="003F7D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zvýšenie náhodného požiarneho zaťaženia p</w:t>
            </w:r>
            <w:r w:rsidRPr="008065E2">
              <w:rPr>
                <w:bCs/>
                <w:sz w:val="20"/>
                <w:szCs w:val="20"/>
                <w:vertAlign w:val="subscript"/>
              </w:rPr>
              <w:t>n</w:t>
            </w:r>
          </w:p>
        </w:tc>
        <w:tc>
          <w:tcPr>
            <w:tcW w:w="2268" w:type="dxa"/>
            <w:vAlign w:val="center"/>
          </w:tcPr>
          <w:p w:rsidR="008065E2" w:rsidRPr="008065E2" w:rsidRDefault="008065E2" w:rsidP="008065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8065E2" w:rsidTr="008065E2">
        <w:trPr>
          <w:trHeight w:val="283"/>
        </w:trPr>
        <w:tc>
          <w:tcPr>
            <w:tcW w:w="567" w:type="dxa"/>
            <w:vAlign w:val="center"/>
          </w:tcPr>
          <w:p w:rsidR="008065E2" w:rsidRDefault="008065E2" w:rsidP="008065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</w:t>
            </w:r>
          </w:p>
        </w:tc>
        <w:tc>
          <w:tcPr>
            <w:tcW w:w="6236" w:type="dxa"/>
          </w:tcPr>
          <w:p w:rsidR="008065E2" w:rsidRDefault="008065E2" w:rsidP="003F7D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zvýšenie hodnoty súčiniteľa a</w:t>
            </w:r>
            <w:r w:rsidRPr="008065E2">
              <w:rPr>
                <w:bCs/>
                <w:sz w:val="20"/>
                <w:szCs w:val="20"/>
                <w:vertAlign w:val="subscript"/>
              </w:rPr>
              <w:t>n</w:t>
            </w:r>
          </w:p>
        </w:tc>
        <w:tc>
          <w:tcPr>
            <w:tcW w:w="2268" w:type="dxa"/>
            <w:vAlign w:val="center"/>
          </w:tcPr>
          <w:p w:rsidR="008065E2" w:rsidRPr="008065E2" w:rsidRDefault="008065E2" w:rsidP="008065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8065E2" w:rsidTr="008065E2">
        <w:trPr>
          <w:trHeight w:val="283"/>
        </w:trPr>
        <w:tc>
          <w:tcPr>
            <w:tcW w:w="567" w:type="dxa"/>
            <w:vAlign w:val="center"/>
          </w:tcPr>
          <w:p w:rsidR="008065E2" w:rsidRDefault="008065E2" w:rsidP="008065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</w:t>
            </w:r>
          </w:p>
        </w:tc>
        <w:tc>
          <w:tcPr>
            <w:tcW w:w="6236" w:type="dxa"/>
          </w:tcPr>
          <w:p w:rsidR="008065E2" w:rsidRDefault="008065E2" w:rsidP="003F7D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zvýšenie počtu osôb podľa STN 92 0241/Z1:12-2012</w:t>
            </w:r>
          </w:p>
        </w:tc>
        <w:tc>
          <w:tcPr>
            <w:tcW w:w="2268" w:type="dxa"/>
            <w:vAlign w:val="center"/>
          </w:tcPr>
          <w:p w:rsidR="008065E2" w:rsidRPr="008065E2" w:rsidRDefault="008065E2" w:rsidP="008065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8065E2" w:rsidTr="008065E2">
        <w:trPr>
          <w:trHeight w:val="283"/>
        </w:trPr>
        <w:tc>
          <w:tcPr>
            <w:tcW w:w="567" w:type="dxa"/>
            <w:vAlign w:val="center"/>
          </w:tcPr>
          <w:p w:rsidR="008065E2" w:rsidRDefault="008065E2" w:rsidP="008065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</w:t>
            </w:r>
          </w:p>
        </w:tc>
        <w:tc>
          <w:tcPr>
            <w:tcW w:w="6236" w:type="dxa"/>
          </w:tcPr>
          <w:p w:rsidR="008065E2" w:rsidRDefault="008065E2" w:rsidP="003F7D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zvýšeniu počtu osôb s obmedzenou schopnosťou pohybu alebo neschopné samostatného pohybu</w:t>
            </w:r>
          </w:p>
        </w:tc>
        <w:tc>
          <w:tcPr>
            <w:tcW w:w="2268" w:type="dxa"/>
            <w:vAlign w:val="center"/>
          </w:tcPr>
          <w:p w:rsidR="008065E2" w:rsidRPr="008065E2" w:rsidRDefault="008065E2" w:rsidP="008065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8065E2" w:rsidTr="008065E2">
        <w:trPr>
          <w:trHeight w:val="283"/>
        </w:trPr>
        <w:tc>
          <w:tcPr>
            <w:tcW w:w="567" w:type="dxa"/>
            <w:vAlign w:val="center"/>
          </w:tcPr>
          <w:p w:rsidR="008065E2" w:rsidRDefault="008065E2" w:rsidP="008065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</w:t>
            </w:r>
          </w:p>
        </w:tc>
        <w:tc>
          <w:tcPr>
            <w:tcW w:w="6236" w:type="dxa"/>
          </w:tcPr>
          <w:p w:rsidR="008065E2" w:rsidRDefault="008065E2" w:rsidP="003F7D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dodatočnému zatepleniu stavieb kontaktným zatepľovacím systémom</w:t>
            </w:r>
          </w:p>
        </w:tc>
        <w:tc>
          <w:tcPr>
            <w:tcW w:w="2268" w:type="dxa"/>
            <w:vAlign w:val="center"/>
          </w:tcPr>
          <w:p w:rsidR="008065E2" w:rsidRPr="008065E2" w:rsidRDefault="008065E2" w:rsidP="008065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splnená</w:t>
            </w:r>
          </w:p>
        </w:tc>
      </w:tr>
      <w:tr w:rsidR="008065E2" w:rsidTr="008065E2">
        <w:trPr>
          <w:trHeight w:val="283"/>
        </w:trPr>
        <w:tc>
          <w:tcPr>
            <w:tcW w:w="567" w:type="dxa"/>
            <w:vAlign w:val="center"/>
          </w:tcPr>
          <w:p w:rsidR="008065E2" w:rsidRDefault="008065E2" w:rsidP="008065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</w:t>
            </w:r>
          </w:p>
        </w:tc>
        <w:tc>
          <w:tcPr>
            <w:tcW w:w="6236" w:type="dxa"/>
          </w:tcPr>
          <w:p w:rsidR="008065E2" w:rsidRDefault="008065E2" w:rsidP="003F7D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zmene doterajšieho technologického súboru za technologický súbor vyššej generácie</w:t>
            </w:r>
          </w:p>
        </w:tc>
        <w:tc>
          <w:tcPr>
            <w:tcW w:w="2268" w:type="dxa"/>
            <w:vAlign w:val="center"/>
          </w:tcPr>
          <w:p w:rsidR="008065E2" w:rsidRPr="008065E2" w:rsidRDefault="008065E2" w:rsidP="008065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8065E2" w:rsidTr="008065E2">
        <w:trPr>
          <w:trHeight w:val="283"/>
        </w:trPr>
        <w:tc>
          <w:tcPr>
            <w:tcW w:w="567" w:type="dxa"/>
            <w:vAlign w:val="center"/>
          </w:tcPr>
          <w:p w:rsidR="008065E2" w:rsidRDefault="008065E2" w:rsidP="008065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</w:t>
            </w:r>
          </w:p>
        </w:tc>
        <w:tc>
          <w:tcPr>
            <w:tcW w:w="6236" w:type="dxa"/>
          </w:tcPr>
          <w:p w:rsidR="008065E2" w:rsidRDefault="008065E2" w:rsidP="003F7D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zmene účelu stavby</w:t>
            </w:r>
          </w:p>
        </w:tc>
        <w:tc>
          <w:tcPr>
            <w:tcW w:w="2268" w:type="dxa"/>
            <w:vAlign w:val="center"/>
          </w:tcPr>
          <w:p w:rsidR="008065E2" w:rsidRPr="008065E2" w:rsidRDefault="008065E2" w:rsidP="008065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:rsidR="00A56B2E" w:rsidRDefault="00A56B2E" w:rsidP="003F7DB0">
      <w:pPr>
        <w:spacing w:after="0" w:line="240" w:lineRule="auto"/>
        <w:rPr>
          <w:bCs/>
          <w:sz w:val="20"/>
          <w:szCs w:val="20"/>
        </w:rPr>
      </w:pPr>
    </w:p>
    <w:p w:rsidR="00A56B2E" w:rsidRDefault="00A56B2E" w:rsidP="003F7DB0">
      <w:pPr>
        <w:spacing w:after="0" w:line="240" w:lineRule="auto"/>
        <w:rPr>
          <w:bCs/>
          <w:sz w:val="20"/>
          <w:szCs w:val="20"/>
        </w:rPr>
      </w:pPr>
    </w:p>
    <w:p w:rsidR="00D151E9" w:rsidRDefault="003F7DB0" w:rsidP="003F7DB0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Predmetnými stavebnými úpravami dochádza k</w:t>
      </w:r>
      <w:r w:rsidR="00D151E9">
        <w:rPr>
          <w:bCs/>
          <w:sz w:val="20"/>
          <w:szCs w:val="20"/>
        </w:rPr>
        <w:t> </w:t>
      </w:r>
      <w:r>
        <w:rPr>
          <w:bCs/>
          <w:sz w:val="20"/>
          <w:szCs w:val="20"/>
        </w:rPr>
        <w:t>zmene</w:t>
      </w:r>
      <w:r w:rsidR="00D151E9">
        <w:rPr>
          <w:bCs/>
          <w:sz w:val="20"/>
          <w:szCs w:val="20"/>
        </w:rPr>
        <w:t xml:space="preserve"> funkcie nakoľko je splnená podmienka e)</w:t>
      </w:r>
    </w:p>
    <w:p w:rsidR="00D151E9" w:rsidRDefault="00D151E9" w:rsidP="003F7DB0">
      <w:pPr>
        <w:spacing w:after="0" w:line="240" w:lineRule="auto"/>
        <w:rPr>
          <w:bCs/>
          <w:sz w:val="20"/>
          <w:szCs w:val="20"/>
        </w:rPr>
      </w:pPr>
    </w:p>
    <w:p w:rsidR="00D151E9" w:rsidRDefault="00D151E9" w:rsidP="003F7DB0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Nakoľko sa na stavbu nevzťahujú podmienky z čl. 2.2.1 ani požiadavky z čl. 2.2.2 a zároveň sa na ňu nevzťahuje ani čl. 2.2.5 v zmysle STN 73 0834/Z2:09-2015, ide o zmenu stavby skupiny II. a postupuje sa podľa čl. 2.2.4</w:t>
      </w:r>
    </w:p>
    <w:p w:rsidR="00D151E9" w:rsidRDefault="00D151E9" w:rsidP="003F7DB0">
      <w:pPr>
        <w:spacing w:after="0" w:line="240" w:lineRule="auto"/>
        <w:rPr>
          <w:bCs/>
          <w:sz w:val="20"/>
          <w:szCs w:val="20"/>
        </w:rPr>
      </w:pPr>
    </w:p>
    <w:p w:rsidR="00A01B5F" w:rsidRDefault="00A01B5F" w:rsidP="003F7DB0">
      <w:pPr>
        <w:spacing w:after="0" w:line="240" w:lineRule="auto"/>
        <w:rPr>
          <w:bCs/>
          <w:sz w:val="20"/>
          <w:szCs w:val="20"/>
        </w:rPr>
      </w:pPr>
    </w:p>
    <w:p w:rsidR="00677ADD" w:rsidRPr="00A01B5F" w:rsidRDefault="0054665E" w:rsidP="00AB5BCA">
      <w:pPr>
        <w:spacing w:after="0" w:line="240" w:lineRule="auto"/>
        <w:rPr>
          <w:b/>
          <w:sz w:val="24"/>
        </w:rPr>
      </w:pPr>
      <w:r w:rsidRPr="00A01B5F">
        <w:rPr>
          <w:b/>
          <w:sz w:val="24"/>
        </w:rPr>
        <w:t>2</w:t>
      </w:r>
      <w:r w:rsidR="00170559" w:rsidRPr="00A01B5F">
        <w:rPr>
          <w:b/>
          <w:sz w:val="24"/>
        </w:rPr>
        <w:t xml:space="preserve">. </w:t>
      </w:r>
      <w:r w:rsidR="00677ADD" w:rsidRPr="00A01B5F">
        <w:rPr>
          <w:b/>
          <w:sz w:val="24"/>
        </w:rPr>
        <w:t>POS</w:t>
      </w:r>
      <w:r w:rsidR="004648B5" w:rsidRPr="00A01B5F">
        <w:rPr>
          <w:b/>
          <w:sz w:val="24"/>
        </w:rPr>
        <w:t>Ú</w:t>
      </w:r>
      <w:r w:rsidR="00677ADD" w:rsidRPr="00A01B5F">
        <w:rPr>
          <w:b/>
          <w:sz w:val="24"/>
        </w:rPr>
        <w:t>D</w:t>
      </w:r>
      <w:r w:rsidR="004648B5" w:rsidRPr="00A01B5F">
        <w:rPr>
          <w:b/>
          <w:sz w:val="24"/>
        </w:rPr>
        <w:t>ENIE NAVRHOVANÉHO STAVU Z HĽADISKA PBS</w:t>
      </w:r>
    </w:p>
    <w:p w:rsidR="00AB5BCA" w:rsidRPr="001C121C" w:rsidRDefault="00AB5BCA" w:rsidP="00AB5BCA">
      <w:pPr>
        <w:spacing w:after="0" w:line="240" w:lineRule="auto"/>
        <w:rPr>
          <w:b/>
        </w:rPr>
      </w:pPr>
    </w:p>
    <w:p w:rsidR="003F7DB0" w:rsidRPr="00FB4DB0" w:rsidRDefault="003F7DB0" w:rsidP="001C121C">
      <w:pPr>
        <w:spacing w:after="0" w:line="240" w:lineRule="auto"/>
        <w:rPr>
          <w:b/>
          <w:sz w:val="20"/>
          <w:szCs w:val="20"/>
        </w:rPr>
      </w:pPr>
      <w:r w:rsidRPr="00FB4DB0">
        <w:rPr>
          <w:b/>
          <w:sz w:val="20"/>
          <w:szCs w:val="20"/>
        </w:rPr>
        <w:t xml:space="preserve">2.1 </w:t>
      </w:r>
      <w:r w:rsidR="00FB4DB0" w:rsidRPr="00FB4DB0">
        <w:rPr>
          <w:b/>
          <w:sz w:val="20"/>
          <w:szCs w:val="20"/>
        </w:rPr>
        <w:t>Členenie stavby na požiarne úseky</w:t>
      </w:r>
    </w:p>
    <w:p w:rsidR="00902FF1" w:rsidRDefault="00FB4DB0" w:rsidP="001C121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V porovnaní s pôvodným dispozičným riešením dochádza k</w:t>
      </w:r>
      <w:r w:rsidR="00EC5385">
        <w:rPr>
          <w:sz w:val="20"/>
          <w:szCs w:val="20"/>
        </w:rPr>
        <w:t xml:space="preserve"> miernej </w:t>
      </w:r>
      <w:r>
        <w:rPr>
          <w:sz w:val="20"/>
          <w:szCs w:val="20"/>
        </w:rPr>
        <w:t>zmene dispozície</w:t>
      </w:r>
      <w:r w:rsidR="00EC5385">
        <w:rPr>
          <w:sz w:val="20"/>
          <w:szCs w:val="20"/>
        </w:rPr>
        <w:t xml:space="preserve"> v časti hygienických zariadení pri vstupnej hale.</w:t>
      </w:r>
      <w:r>
        <w:rPr>
          <w:sz w:val="20"/>
          <w:szCs w:val="20"/>
        </w:rPr>
        <w:t xml:space="preserve"> </w:t>
      </w:r>
      <w:r w:rsidR="00EC5385">
        <w:rPr>
          <w:sz w:val="20"/>
          <w:szCs w:val="20"/>
        </w:rPr>
        <w:t>P</w:t>
      </w:r>
      <w:r>
        <w:rPr>
          <w:sz w:val="20"/>
          <w:szCs w:val="20"/>
        </w:rPr>
        <w:t>redmetn</w:t>
      </w:r>
      <w:r w:rsidR="00EC5385">
        <w:rPr>
          <w:sz w:val="20"/>
          <w:szCs w:val="20"/>
        </w:rPr>
        <w:t>ú</w:t>
      </w:r>
      <w:r>
        <w:rPr>
          <w:sz w:val="20"/>
          <w:szCs w:val="20"/>
        </w:rPr>
        <w:t xml:space="preserve"> </w:t>
      </w:r>
      <w:r w:rsidR="00EC5385">
        <w:rPr>
          <w:sz w:val="20"/>
          <w:szCs w:val="20"/>
        </w:rPr>
        <w:t>stavbu</w:t>
      </w:r>
      <w:r>
        <w:rPr>
          <w:sz w:val="20"/>
          <w:szCs w:val="20"/>
        </w:rPr>
        <w:t xml:space="preserve"> nie je nutné deliť na požiarne úseky nakoľko nie je prekročená </w:t>
      </w:r>
      <w:r w:rsidR="00715FA6">
        <w:rPr>
          <w:sz w:val="20"/>
          <w:szCs w:val="20"/>
        </w:rPr>
        <w:t xml:space="preserve">medzná veľkosť požiarneho úseku, ktorá je stanovená ako súčin medznej dĺžky a šírky v zmysle STN 73 0802/Z2/O3:05-2017 čl. 5.3 a tab. 9 na hodnotu </w:t>
      </w:r>
      <w:r w:rsidR="00EC5385">
        <w:rPr>
          <w:sz w:val="20"/>
          <w:szCs w:val="20"/>
        </w:rPr>
        <w:t>2 284,80</w:t>
      </w:r>
      <w:r w:rsidR="00715FA6">
        <w:rPr>
          <w:sz w:val="20"/>
          <w:szCs w:val="20"/>
        </w:rPr>
        <w:t>m</w:t>
      </w:r>
      <w:r w:rsidR="00715FA6" w:rsidRPr="00715FA6">
        <w:rPr>
          <w:sz w:val="20"/>
          <w:szCs w:val="20"/>
          <w:vertAlign w:val="superscript"/>
        </w:rPr>
        <w:t>2</w:t>
      </w:r>
      <w:r w:rsidR="00715FA6">
        <w:rPr>
          <w:sz w:val="20"/>
          <w:szCs w:val="20"/>
        </w:rPr>
        <w:t xml:space="preserve">. </w:t>
      </w:r>
    </w:p>
    <w:p w:rsidR="00715FA6" w:rsidRDefault="00715FA6" w:rsidP="001C121C">
      <w:pPr>
        <w:spacing w:after="0" w:line="240" w:lineRule="auto"/>
        <w:rPr>
          <w:sz w:val="20"/>
          <w:szCs w:val="20"/>
        </w:rPr>
      </w:pPr>
    </w:p>
    <w:p w:rsidR="006B3939" w:rsidRDefault="006B3939" w:rsidP="001C121C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2.2 Požiarne riziko</w:t>
      </w:r>
    </w:p>
    <w:p w:rsidR="006B3939" w:rsidRPr="006B3939" w:rsidRDefault="006B3939" w:rsidP="001C121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Požiarne riziko pre predmetný požiarny úsek je vyjadrené výpočtovým požiarnym zaťažením a je stanovené na hodnotu 4</w:t>
      </w:r>
      <w:r w:rsidR="00EC5385">
        <w:rPr>
          <w:sz w:val="20"/>
          <w:szCs w:val="20"/>
        </w:rPr>
        <w:t>9,70</w:t>
      </w:r>
      <w:r>
        <w:rPr>
          <w:sz w:val="20"/>
          <w:szCs w:val="20"/>
        </w:rPr>
        <w:t xml:space="preserve"> kg.m</w:t>
      </w:r>
      <w:r w:rsidRPr="006B3939">
        <w:rPr>
          <w:sz w:val="20"/>
          <w:szCs w:val="20"/>
          <w:vertAlign w:val="superscript"/>
        </w:rPr>
        <w:t>-2</w:t>
      </w:r>
      <w:r>
        <w:rPr>
          <w:sz w:val="20"/>
          <w:szCs w:val="20"/>
        </w:rPr>
        <w:t xml:space="preserve">. V miestnosti </w:t>
      </w:r>
      <w:r w:rsidR="00EC5385">
        <w:rPr>
          <w:sz w:val="20"/>
          <w:szCs w:val="20"/>
        </w:rPr>
        <w:t>2</w:t>
      </w:r>
      <w:r>
        <w:rPr>
          <w:sz w:val="20"/>
          <w:szCs w:val="20"/>
        </w:rPr>
        <w:t>.0</w:t>
      </w:r>
      <w:r w:rsidR="00EC5385">
        <w:rPr>
          <w:sz w:val="20"/>
          <w:szCs w:val="20"/>
        </w:rPr>
        <w:t>3</w:t>
      </w:r>
      <w:r>
        <w:rPr>
          <w:sz w:val="20"/>
          <w:szCs w:val="20"/>
        </w:rPr>
        <w:t xml:space="preserve"> (</w:t>
      </w:r>
      <w:r w:rsidR="00EC5385">
        <w:rPr>
          <w:sz w:val="20"/>
          <w:szCs w:val="20"/>
        </w:rPr>
        <w:t>knižnica</w:t>
      </w:r>
      <w:r>
        <w:rPr>
          <w:sz w:val="20"/>
          <w:szCs w:val="20"/>
        </w:rPr>
        <w:t xml:space="preserve">) sa nenachádza sústredené výpočtové požiarne zaťaženie, pretože nie je splnená podmienka v zmysle STN 73 0802/Z2/O3:05-2017, čl. 4.2.3 písm. a). Plocha na ktorej sa </w:t>
      </w:r>
      <w:r w:rsidR="00EC5385">
        <w:rPr>
          <w:sz w:val="20"/>
          <w:szCs w:val="20"/>
        </w:rPr>
        <w:t xml:space="preserve">reálne </w:t>
      </w:r>
      <w:r>
        <w:rPr>
          <w:sz w:val="20"/>
          <w:szCs w:val="20"/>
        </w:rPr>
        <w:t>vyskytuje vyššie požiarne zaťaženie</w:t>
      </w:r>
      <w:r w:rsidR="00EC5385">
        <w:rPr>
          <w:sz w:val="20"/>
          <w:szCs w:val="20"/>
        </w:rPr>
        <w:t xml:space="preserve"> (plocha regálov s knihami)</w:t>
      </w:r>
      <w:r>
        <w:rPr>
          <w:sz w:val="20"/>
          <w:szCs w:val="20"/>
        </w:rPr>
        <w:t xml:space="preserve"> je </w:t>
      </w:r>
      <w:r w:rsidR="00EC5385">
        <w:rPr>
          <w:sz w:val="20"/>
          <w:szCs w:val="20"/>
        </w:rPr>
        <w:t xml:space="preserve">menšia ako </w:t>
      </w:r>
      <w:r>
        <w:rPr>
          <w:sz w:val="20"/>
          <w:szCs w:val="20"/>
        </w:rPr>
        <w:t xml:space="preserve">max. </w:t>
      </w:r>
      <w:r w:rsidR="00EC5385">
        <w:rPr>
          <w:sz w:val="20"/>
          <w:szCs w:val="20"/>
        </w:rPr>
        <w:t xml:space="preserve">plocha </w:t>
      </w:r>
      <w:r>
        <w:rPr>
          <w:sz w:val="20"/>
          <w:szCs w:val="20"/>
        </w:rPr>
        <w:t>25</w:t>
      </w:r>
      <w:r w:rsidR="00EC5385">
        <w:rPr>
          <w:sz w:val="20"/>
          <w:szCs w:val="20"/>
        </w:rPr>
        <w:t>,0</w:t>
      </w:r>
      <w:r w:rsidR="004D71E2">
        <w:rPr>
          <w:sz w:val="20"/>
          <w:szCs w:val="20"/>
        </w:rPr>
        <w:t xml:space="preserve"> </w:t>
      </w:r>
      <w:r>
        <w:rPr>
          <w:sz w:val="20"/>
          <w:szCs w:val="20"/>
        </w:rPr>
        <w:t>m</w:t>
      </w:r>
      <w:r w:rsidRPr="006B3939"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>.</w:t>
      </w:r>
    </w:p>
    <w:p w:rsidR="006B3939" w:rsidRDefault="006B3939" w:rsidP="001C121C">
      <w:pPr>
        <w:spacing w:after="0" w:line="240" w:lineRule="auto"/>
        <w:rPr>
          <w:b/>
          <w:sz w:val="20"/>
          <w:szCs w:val="20"/>
        </w:rPr>
      </w:pPr>
    </w:p>
    <w:p w:rsidR="00715FA6" w:rsidRPr="00715FA6" w:rsidRDefault="00715FA6" w:rsidP="001C121C">
      <w:pPr>
        <w:spacing w:after="0" w:line="240" w:lineRule="auto"/>
        <w:rPr>
          <w:b/>
          <w:sz w:val="20"/>
          <w:szCs w:val="20"/>
        </w:rPr>
      </w:pPr>
      <w:r w:rsidRPr="00715FA6">
        <w:rPr>
          <w:b/>
          <w:sz w:val="20"/>
          <w:szCs w:val="20"/>
        </w:rPr>
        <w:t>2.</w:t>
      </w:r>
      <w:r w:rsidR="006B3939">
        <w:rPr>
          <w:b/>
          <w:sz w:val="20"/>
          <w:szCs w:val="20"/>
        </w:rPr>
        <w:t>3</w:t>
      </w:r>
      <w:r w:rsidRPr="00715FA6">
        <w:rPr>
          <w:b/>
          <w:sz w:val="20"/>
          <w:szCs w:val="20"/>
        </w:rPr>
        <w:t xml:space="preserve"> Stupeň požiarnej bezpečnosti</w:t>
      </w:r>
    </w:p>
    <w:p w:rsidR="00715FA6" w:rsidRDefault="00715FA6" w:rsidP="001C121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Zmenou stavby dochádza k</w:t>
      </w:r>
      <w:r w:rsidR="00EC5385">
        <w:rPr>
          <w:sz w:val="20"/>
          <w:szCs w:val="20"/>
        </w:rPr>
        <w:t xml:space="preserve"> zníženiu </w:t>
      </w:r>
      <w:r>
        <w:rPr>
          <w:sz w:val="20"/>
          <w:szCs w:val="20"/>
        </w:rPr>
        <w:t>stupňa požiarnej bezpečnosti požiarneho úseku</w:t>
      </w:r>
      <w:r w:rsidR="00EC5385">
        <w:rPr>
          <w:sz w:val="20"/>
          <w:szCs w:val="20"/>
        </w:rPr>
        <w:t xml:space="preserve">, v tomto prípade celej stavby </w:t>
      </w:r>
      <w:r>
        <w:rPr>
          <w:sz w:val="20"/>
          <w:szCs w:val="20"/>
        </w:rPr>
        <w:t>a nie sú preto zvýšené požiadavky na požiarnu odolnosť stavebných konštrukcií.</w:t>
      </w:r>
    </w:p>
    <w:p w:rsidR="00090F98" w:rsidRDefault="00090F98" w:rsidP="001C121C">
      <w:pPr>
        <w:spacing w:after="0" w:line="240" w:lineRule="auto"/>
        <w:rPr>
          <w:sz w:val="20"/>
          <w:szCs w:val="20"/>
        </w:rPr>
      </w:pPr>
    </w:p>
    <w:p w:rsidR="00715FA6" w:rsidRPr="00FE6F38" w:rsidRDefault="00715FA6" w:rsidP="001C121C">
      <w:pPr>
        <w:spacing w:after="0" w:line="240" w:lineRule="auto"/>
        <w:rPr>
          <w:b/>
          <w:sz w:val="20"/>
          <w:szCs w:val="20"/>
        </w:rPr>
      </w:pPr>
      <w:r w:rsidRPr="00FE6F38">
        <w:rPr>
          <w:b/>
          <w:sz w:val="20"/>
          <w:szCs w:val="20"/>
        </w:rPr>
        <w:t>2.</w:t>
      </w:r>
      <w:r w:rsidR="00FE6F38">
        <w:rPr>
          <w:b/>
          <w:sz w:val="20"/>
          <w:szCs w:val="20"/>
        </w:rPr>
        <w:t>4</w:t>
      </w:r>
      <w:r w:rsidRPr="00FE6F38">
        <w:rPr>
          <w:b/>
          <w:sz w:val="20"/>
          <w:szCs w:val="20"/>
        </w:rPr>
        <w:t xml:space="preserve"> Únikové cesty</w:t>
      </w:r>
    </w:p>
    <w:p w:rsidR="00402041" w:rsidRDefault="00402041" w:rsidP="001C121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Predmetnými stavebnými úpravami nedošlo k zúženiu ani predĺženiu únikových ciest. Naopak stavebnými úpravami sa rozširujú niektoré otvory. Podmienky evakuácie sa nezmenili ani navýšením počtu osôb. Z hľadiska protipožiarnej bezpečnosti stavby však došlo k zásadnej zmene tým, že sa zamuroval východ z miestnosti 1.11 (sála B) na juhozápadnej fasáde. </w:t>
      </w:r>
      <w:r w:rsidR="00F823C9">
        <w:rPr>
          <w:sz w:val="20"/>
          <w:szCs w:val="20"/>
        </w:rPr>
        <w:t xml:space="preserve">Týmto riešením sa nám mení počet únikových ciest z danej miestnosti, nakoľko aj pridaním nového východu z miestnosti na severovýchodnej fasáde vedľa existujúceho východu nie je splnená podmienka v zmysle STN 73 0802/Z2/O3:05-2017 čl. 7.2.1.2, preto nie je možné v celej miestnosti uvažovať s dvoma </w:t>
      </w:r>
      <w:r w:rsidR="00551D99">
        <w:rPr>
          <w:sz w:val="20"/>
          <w:szCs w:val="20"/>
        </w:rPr>
        <w:t>úni</w:t>
      </w:r>
      <w:r w:rsidR="00F823C9">
        <w:rPr>
          <w:sz w:val="20"/>
          <w:szCs w:val="20"/>
        </w:rPr>
        <w:t>kovými cestami</w:t>
      </w:r>
      <w:r w:rsidR="00551D99">
        <w:rPr>
          <w:sz w:val="20"/>
          <w:szCs w:val="20"/>
        </w:rPr>
        <w:t>.</w:t>
      </w:r>
      <w:r w:rsidR="00F823C9">
        <w:rPr>
          <w:sz w:val="20"/>
          <w:szCs w:val="20"/>
        </w:rPr>
        <w:t xml:space="preserve"> </w:t>
      </w:r>
      <w:r w:rsidR="00551D99">
        <w:rPr>
          <w:sz w:val="20"/>
          <w:szCs w:val="20"/>
        </w:rPr>
        <w:t xml:space="preserve">Posúdenie únikových ciest z miestnosti 1.11 (sála B) je </w:t>
      </w:r>
      <w:r w:rsidR="00CE4C7B">
        <w:rPr>
          <w:sz w:val="20"/>
          <w:szCs w:val="20"/>
        </w:rPr>
        <w:t>nasledovné</w:t>
      </w:r>
      <w:r w:rsidR="00551D99">
        <w:rPr>
          <w:sz w:val="20"/>
          <w:szCs w:val="20"/>
        </w:rPr>
        <w:t>.</w:t>
      </w:r>
    </w:p>
    <w:p w:rsidR="00CE4C7B" w:rsidRDefault="00CE4C7B" w:rsidP="001C121C">
      <w:pPr>
        <w:spacing w:after="0" w:line="240" w:lineRule="auto"/>
        <w:rPr>
          <w:sz w:val="20"/>
          <w:szCs w:val="20"/>
        </w:rPr>
      </w:pPr>
    </w:p>
    <w:p w:rsidR="00CE4C7B" w:rsidRDefault="00CE4C7B" w:rsidP="001C121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 miestností 1.11 (sála B) je možné pre časť priestoru zobrazeného vo výkresovej časti uvažovať s dvoma nechránenými únikovými cestami, pričom dlhšia z nich označená ako NÚC „1“ má celkovú dĺžku </w:t>
      </w:r>
      <w:r w:rsidRPr="007B4642">
        <w:rPr>
          <w:b/>
          <w:sz w:val="20"/>
          <w:szCs w:val="20"/>
        </w:rPr>
        <w:t>30,57 m</w:t>
      </w:r>
      <w:r>
        <w:rPr>
          <w:sz w:val="20"/>
          <w:szCs w:val="20"/>
        </w:rPr>
        <w:t xml:space="preserve"> a druhá kratšia označená ako NÚC „2“ má celkovú dĺžku </w:t>
      </w:r>
      <w:r w:rsidRPr="007B4642">
        <w:rPr>
          <w:b/>
          <w:sz w:val="20"/>
          <w:szCs w:val="20"/>
        </w:rPr>
        <w:t>13,89 m</w:t>
      </w:r>
      <w:r>
        <w:rPr>
          <w:sz w:val="20"/>
          <w:szCs w:val="20"/>
        </w:rPr>
        <w:t xml:space="preserve">. </w:t>
      </w:r>
      <w:r w:rsidR="007B4642">
        <w:rPr>
          <w:sz w:val="20"/>
          <w:szCs w:val="20"/>
        </w:rPr>
        <w:t xml:space="preserve">Počet únikových pruhov je pre NÚC „1“ 2,5 a pre NÚC „2“ 1,5. Celkový počet únikových pruhov je </w:t>
      </w:r>
      <w:r w:rsidR="007B4642" w:rsidRPr="007B4642">
        <w:rPr>
          <w:b/>
          <w:sz w:val="20"/>
          <w:szCs w:val="20"/>
        </w:rPr>
        <w:t>4</w:t>
      </w:r>
      <w:r w:rsidR="00103552">
        <w:rPr>
          <w:b/>
          <w:sz w:val="20"/>
          <w:szCs w:val="20"/>
        </w:rPr>
        <w:t>,5</w:t>
      </w:r>
      <w:r w:rsidR="007B4642">
        <w:rPr>
          <w:sz w:val="20"/>
          <w:szCs w:val="20"/>
        </w:rPr>
        <w:t xml:space="preserve">. </w:t>
      </w:r>
    </w:p>
    <w:p w:rsidR="007B4642" w:rsidRDefault="007B4642" w:rsidP="001C121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Medzná dĺžka nechránenej únikovej cesty pre hodnotu súčiniteľa a = 1,03 a pre viac únikových ciest je </w:t>
      </w:r>
      <w:r w:rsidRPr="007B4642">
        <w:rPr>
          <w:b/>
          <w:sz w:val="20"/>
          <w:szCs w:val="20"/>
        </w:rPr>
        <w:t>3</w:t>
      </w:r>
      <w:r w:rsidR="00103552">
        <w:rPr>
          <w:b/>
          <w:sz w:val="20"/>
          <w:szCs w:val="20"/>
        </w:rPr>
        <w:t>8</w:t>
      </w:r>
      <w:r w:rsidRPr="007B4642">
        <w:rPr>
          <w:b/>
          <w:sz w:val="20"/>
          <w:szCs w:val="20"/>
        </w:rPr>
        <w:t>,5 m</w:t>
      </w:r>
      <w:r>
        <w:rPr>
          <w:sz w:val="20"/>
          <w:szCs w:val="20"/>
        </w:rPr>
        <w:t>.</w:t>
      </w:r>
    </w:p>
    <w:p w:rsidR="007B4642" w:rsidRDefault="007B4642" w:rsidP="001C121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Najmenší počet únikových pruhov je stanovený v zmysle STN 73 0802/Z2/O3:05-2017 čl. 7.2.3.3 a rovnice (19), pričom uvažujem evakuáciu osôb na nechránenej únikovej ceste, ktorú tvorí viac únikových ciest, uniká sa po schodoch dole a evakuáci</w:t>
      </w:r>
      <w:r w:rsidR="00452EDC">
        <w:rPr>
          <w:sz w:val="20"/>
          <w:szCs w:val="20"/>
        </w:rPr>
        <w:t>a</w:t>
      </w:r>
      <w:r>
        <w:rPr>
          <w:sz w:val="20"/>
          <w:szCs w:val="20"/>
        </w:rPr>
        <w:t xml:space="preserve"> prebieha súčasne s osobami s obmedzenou schopnosťou pohybu. Pre takto zadané podmienky</w:t>
      </w:r>
      <w:r w:rsidR="00452EDC">
        <w:rPr>
          <w:sz w:val="20"/>
          <w:szCs w:val="20"/>
        </w:rPr>
        <w:t>, kde E = 195, K = 80</w:t>
      </w:r>
      <w:r>
        <w:rPr>
          <w:sz w:val="20"/>
          <w:szCs w:val="20"/>
        </w:rPr>
        <w:t xml:space="preserve"> </w:t>
      </w:r>
      <w:r w:rsidR="00452EDC">
        <w:rPr>
          <w:sz w:val="20"/>
          <w:szCs w:val="20"/>
        </w:rPr>
        <w:t xml:space="preserve">a s = 1,5 </w:t>
      </w:r>
      <w:r>
        <w:rPr>
          <w:sz w:val="20"/>
          <w:szCs w:val="20"/>
        </w:rPr>
        <w:t xml:space="preserve">je najmenší počet únikových pruhov stanovený na hodnotu </w:t>
      </w:r>
      <w:r w:rsidRPr="007B4642">
        <w:rPr>
          <w:b/>
          <w:sz w:val="20"/>
          <w:szCs w:val="20"/>
        </w:rPr>
        <w:t>4</w:t>
      </w:r>
      <w:r>
        <w:rPr>
          <w:sz w:val="20"/>
          <w:szCs w:val="20"/>
        </w:rPr>
        <w:t>.</w:t>
      </w:r>
    </w:p>
    <w:p w:rsidR="007B4642" w:rsidRDefault="007B4642" w:rsidP="001C121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Pretože ani jedna s únikových ciest neprekračuje medznú dĺžku únikovej cesty a splnený je aj počet únikových pruhov, takto navrhnuté únikoví cesty </w:t>
      </w:r>
      <w:r w:rsidRPr="007B4642">
        <w:rPr>
          <w:b/>
          <w:sz w:val="20"/>
          <w:szCs w:val="20"/>
        </w:rPr>
        <w:t>vyhovujú</w:t>
      </w:r>
      <w:r>
        <w:rPr>
          <w:sz w:val="20"/>
          <w:szCs w:val="20"/>
        </w:rPr>
        <w:t>.</w:t>
      </w:r>
    </w:p>
    <w:p w:rsidR="007B4642" w:rsidRDefault="004D7B1A" w:rsidP="001C121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Časť priestoru je potrebné riešiť ako priestor s jednou únikovou cestou. Vo výkrese je označená ako NÚC „2“. Jej celková dĺžka je </w:t>
      </w:r>
      <w:r w:rsidRPr="00452EDC">
        <w:rPr>
          <w:b/>
          <w:sz w:val="20"/>
          <w:szCs w:val="20"/>
        </w:rPr>
        <w:t>13,89 m</w:t>
      </w:r>
      <w:r>
        <w:rPr>
          <w:sz w:val="20"/>
          <w:szCs w:val="20"/>
        </w:rPr>
        <w:t xml:space="preserve"> a má započítateľní počet únikových pruhov je </w:t>
      </w:r>
      <w:r w:rsidR="00103552" w:rsidRPr="00103552">
        <w:rPr>
          <w:b/>
          <w:sz w:val="20"/>
          <w:szCs w:val="20"/>
        </w:rPr>
        <w:t>2,0</w:t>
      </w:r>
      <w:r>
        <w:rPr>
          <w:sz w:val="20"/>
          <w:szCs w:val="20"/>
        </w:rPr>
        <w:t xml:space="preserve">. </w:t>
      </w:r>
    </w:p>
    <w:p w:rsidR="004D7B1A" w:rsidRDefault="004D7B1A" w:rsidP="004D7B1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Medzná dĺžka nechránenej únikovej cesty pre hodnotu súčiniteľa a = 1,03 a pre jednu únikovú cestu je </w:t>
      </w:r>
      <w:r w:rsidRPr="004D7B1A">
        <w:rPr>
          <w:b/>
          <w:sz w:val="20"/>
          <w:szCs w:val="20"/>
        </w:rPr>
        <w:t>18,</w:t>
      </w:r>
      <w:r w:rsidRPr="007B4642">
        <w:rPr>
          <w:b/>
          <w:sz w:val="20"/>
          <w:szCs w:val="20"/>
        </w:rPr>
        <w:t>5 m</w:t>
      </w:r>
      <w:r>
        <w:rPr>
          <w:sz w:val="20"/>
          <w:szCs w:val="20"/>
        </w:rPr>
        <w:t>.</w:t>
      </w:r>
    </w:p>
    <w:p w:rsidR="00452EDC" w:rsidRDefault="00452EDC" w:rsidP="00452ED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Najmenší počet únikových pruhov je stanovený v zmysle STN 73 0802/Z2/O3:05-2017 čl. 7.2.3.3 a rovnice (19), pričom uvažujem evakuáciu osôb na nechránenej únikovej ceste, ktorú tvorí jedna úniková cesta, uniká sa po rovine a evakuácia prebieha súčasne s osobami s obmedzenou schopnosťou pohybu.</w:t>
      </w:r>
    </w:p>
    <w:p w:rsidR="00452EDC" w:rsidRDefault="00452EDC" w:rsidP="00452ED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Medzná kapacita únikovej cesty NÚC „1“ je v zmysle STN 73 0802/Z2/O3:05-2017 čl. 7.2.3.10 a rovnice (21) stanovený na 136 a preto pre NÚC „2“ uvažujem s nasledovnými </w:t>
      </w:r>
      <w:r w:rsidR="00103552">
        <w:rPr>
          <w:sz w:val="20"/>
          <w:szCs w:val="20"/>
        </w:rPr>
        <w:t>podmienkami E = 59, K = 55</w:t>
      </w:r>
      <w:r>
        <w:rPr>
          <w:sz w:val="20"/>
          <w:szCs w:val="20"/>
        </w:rPr>
        <w:t xml:space="preserve"> a s = 1,5. Pre takto zadané podmienky je najmenší počet únikových pruhov stanovený na hodnotu </w:t>
      </w:r>
      <w:r w:rsidR="00103552">
        <w:rPr>
          <w:b/>
          <w:sz w:val="20"/>
          <w:szCs w:val="20"/>
        </w:rPr>
        <w:t>2</w:t>
      </w:r>
      <w:r w:rsidRPr="00452EDC">
        <w:rPr>
          <w:b/>
          <w:sz w:val="20"/>
          <w:szCs w:val="20"/>
        </w:rPr>
        <w:t>,</w:t>
      </w:r>
      <w:r w:rsidR="00103552">
        <w:rPr>
          <w:b/>
          <w:sz w:val="20"/>
          <w:szCs w:val="20"/>
        </w:rPr>
        <w:t>0</w:t>
      </w:r>
      <w:r>
        <w:rPr>
          <w:sz w:val="20"/>
          <w:szCs w:val="20"/>
        </w:rPr>
        <w:t>.</w:t>
      </w:r>
    </w:p>
    <w:p w:rsidR="00452EDC" w:rsidRDefault="00452EDC" w:rsidP="00452ED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Pretože úniková cesta neprekračuje medznú dĺžku únikovej cesty a splnený je aj počet únikových pruhov, takto navrhnutá úniková cesta </w:t>
      </w:r>
      <w:r w:rsidRPr="007B4642">
        <w:rPr>
          <w:b/>
          <w:sz w:val="20"/>
          <w:szCs w:val="20"/>
        </w:rPr>
        <w:t>vyhovuj</w:t>
      </w:r>
      <w:r>
        <w:rPr>
          <w:b/>
          <w:sz w:val="20"/>
          <w:szCs w:val="20"/>
        </w:rPr>
        <w:t>e</w:t>
      </w:r>
      <w:r>
        <w:rPr>
          <w:sz w:val="20"/>
          <w:szCs w:val="20"/>
        </w:rPr>
        <w:t>.</w:t>
      </w:r>
    </w:p>
    <w:p w:rsidR="00CC75B3" w:rsidRPr="00CC75B3" w:rsidRDefault="00CC75B3" w:rsidP="001C121C">
      <w:pPr>
        <w:spacing w:after="0" w:line="240" w:lineRule="auto"/>
        <w:rPr>
          <w:bCs/>
          <w:sz w:val="20"/>
          <w:szCs w:val="20"/>
        </w:rPr>
      </w:pPr>
    </w:p>
    <w:p w:rsidR="00CC75B3" w:rsidRPr="00CC75B3" w:rsidRDefault="00CC75B3" w:rsidP="001C121C">
      <w:pPr>
        <w:spacing w:after="0" w:line="240" w:lineRule="auto"/>
        <w:rPr>
          <w:b/>
          <w:bCs/>
          <w:sz w:val="20"/>
          <w:szCs w:val="20"/>
        </w:rPr>
      </w:pPr>
      <w:r w:rsidRPr="00CC75B3">
        <w:rPr>
          <w:b/>
          <w:bCs/>
          <w:sz w:val="20"/>
          <w:szCs w:val="20"/>
        </w:rPr>
        <w:t>2.5 Odstupové vzdialenosti</w:t>
      </w:r>
    </w:p>
    <w:p w:rsidR="00775BE9" w:rsidRDefault="00775BE9" w:rsidP="00CC75B3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Nakoľko stavebnými zásahmi dôjde k vytvoreniu nových otvorov pristupujem k výpočtu odstupových vzdialenosti.</w:t>
      </w:r>
    </w:p>
    <w:p w:rsidR="00CC75B3" w:rsidRDefault="00775BE9" w:rsidP="001C121C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Strešný plášť nie je čiastočne požiarne otvorenou plochou, nakoľko nie je z horľavých materiálov ani s horľavou povrchovou úpravou (plechová krytina – A1) v zmysle STN 73 0802/Z2/O3:05-2017 čl. 6.6.4. V strešnom plášti sa nenachádzajú požiarne otvorené plochy (strešné okná)</w:t>
      </w:r>
    </w:p>
    <w:p w:rsidR="00775BE9" w:rsidRDefault="00775BE9" w:rsidP="00775BE9">
      <w:pPr>
        <w:spacing w:after="0" w:line="240" w:lineRule="auto"/>
        <w:rPr>
          <w:bCs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775BE9" w:rsidTr="006B3E45">
        <w:tc>
          <w:tcPr>
            <w:tcW w:w="1203" w:type="dxa"/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3" w:type="dxa"/>
          </w:tcPr>
          <w:p w:rsidR="00775BE9" w:rsidRPr="008B50C3" w:rsidRDefault="00775BE9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 w:rsidRPr="008B50C3">
              <w:rPr>
                <w:b/>
                <w:bCs/>
                <w:sz w:val="20"/>
                <w:szCs w:val="20"/>
              </w:rPr>
              <w:t>P</w:t>
            </w:r>
            <w:r w:rsidRPr="008B50C3">
              <w:rPr>
                <w:b/>
                <w:bCs/>
                <w:sz w:val="20"/>
                <w:szCs w:val="20"/>
                <w:vertAlign w:val="subscript"/>
              </w:rPr>
              <w:t>v</w:t>
            </w:r>
          </w:p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(kg.m</w:t>
            </w:r>
            <w:r w:rsidRPr="008B50C3">
              <w:rPr>
                <w:bCs/>
                <w:sz w:val="20"/>
                <w:szCs w:val="20"/>
                <w:vertAlign w:val="superscript"/>
              </w:rPr>
              <w:t>-2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203" w:type="dxa"/>
          </w:tcPr>
          <w:p w:rsidR="00775BE9" w:rsidRPr="008B50C3" w:rsidRDefault="00775BE9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 w:rsidRPr="008B50C3">
              <w:rPr>
                <w:b/>
                <w:bCs/>
                <w:sz w:val="20"/>
                <w:szCs w:val="20"/>
              </w:rPr>
              <w:t>h</w:t>
            </w:r>
            <w:r w:rsidRPr="008B50C3">
              <w:rPr>
                <w:b/>
                <w:bCs/>
                <w:sz w:val="20"/>
                <w:szCs w:val="20"/>
                <w:vertAlign w:val="subscript"/>
              </w:rPr>
              <w:t>u</w:t>
            </w:r>
          </w:p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(m)</w:t>
            </w:r>
          </w:p>
        </w:tc>
        <w:tc>
          <w:tcPr>
            <w:tcW w:w="1203" w:type="dxa"/>
          </w:tcPr>
          <w:p w:rsidR="00775BE9" w:rsidRPr="008B50C3" w:rsidRDefault="00775BE9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 w:rsidRPr="008B50C3">
              <w:rPr>
                <w:b/>
                <w:bCs/>
                <w:sz w:val="20"/>
                <w:szCs w:val="20"/>
              </w:rPr>
              <w:t>l</w:t>
            </w:r>
            <w:r w:rsidRPr="008B50C3">
              <w:rPr>
                <w:b/>
                <w:bCs/>
                <w:sz w:val="20"/>
                <w:szCs w:val="20"/>
                <w:vertAlign w:val="subscript"/>
              </w:rPr>
              <w:t>u</w:t>
            </w:r>
          </w:p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(m)</w:t>
            </w:r>
          </w:p>
        </w:tc>
        <w:tc>
          <w:tcPr>
            <w:tcW w:w="1204" w:type="dxa"/>
          </w:tcPr>
          <w:p w:rsidR="00775BE9" w:rsidRPr="008B50C3" w:rsidRDefault="00775BE9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 w:rsidRPr="008B50C3">
              <w:rPr>
                <w:b/>
                <w:bCs/>
                <w:sz w:val="20"/>
                <w:szCs w:val="20"/>
              </w:rPr>
              <w:t>S</w:t>
            </w:r>
            <w:r w:rsidRPr="008B50C3">
              <w:rPr>
                <w:b/>
                <w:bCs/>
                <w:sz w:val="20"/>
                <w:szCs w:val="20"/>
                <w:vertAlign w:val="subscript"/>
              </w:rPr>
              <w:t>p</w:t>
            </w:r>
          </w:p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(m</w:t>
            </w:r>
            <w:r w:rsidRPr="008B50C3">
              <w:rPr>
                <w:bCs/>
                <w:sz w:val="20"/>
                <w:szCs w:val="20"/>
                <w:vertAlign w:val="superscript"/>
              </w:rPr>
              <w:t>2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204" w:type="dxa"/>
          </w:tcPr>
          <w:p w:rsidR="00775BE9" w:rsidRPr="008B50C3" w:rsidRDefault="00775BE9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 w:rsidRPr="008B50C3">
              <w:rPr>
                <w:b/>
                <w:bCs/>
                <w:sz w:val="20"/>
                <w:szCs w:val="20"/>
              </w:rPr>
              <w:t>S</w:t>
            </w:r>
            <w:r w:rsidRPr="008B50C3">
              <w:rPr>
                <w:b/>
                <w:bCs/>
                <w:sz w:val="20"/>
                <w:szCs w:val="20"/>
                <w:vertAlign w:val="subscript"/>
              </w:rPr>
              <w:t>po</w:t>
            </w:r>
          </w:p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(m</w:t>
            </w:r>
            <w:r w:rsidRPr="008B50C3">
              <w:rPr>
                <w:bCs/>
                <w:sz w:val="20"/>
                <w:szCs w:val="20"/>
                <w:vertAlign w:val="superscript"/>
              </w:rPr>
              <w:t>2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204" w:type="dxa"/>
          </w:tcPr>
          <w:p w:rsidR="00775BE9" w:rsidRPr="008B50C3" w:rsidRDefault="00775BE9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 w:rsidRPr="008B50C3">
              <w:rPr>
                <w:b/>
                <w:bCs/>
                <w:sz w:val="20"/>
                <w:szCs w:val="20"/>
              </w:rPr>
              <w:t>p</w:t>
            </w:r>
            <w:r w:rsidRPr="008B50C3">
              <w:rPr>
                <w:b/>
                <w:bCs/>
                <w:sz w:val="20"/>
                <w:szCs w:val="20"/>
                <w:vertAlign w:val="subscript"/>
              </w:rPr>
              <w:t>o</w:t>
            </w:r>
          </w:p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(%)</w:t>
            </w:r>
          </w:p>
        </w:tc>
        <w:tc>
          <w:tcPr>
            <w:tcW w:w="1204" w:type="dxa"/>
          </w:tcPr>
          <w:p w:rsidR="00775BE9" w:rsidRPr="008B50C3" w:rsidRDefault="00775BE9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 w:rsidRPr="008B50C3">
              <w:rPr>
                <w:b/>
                <w:bCs/>
                <w:sz w:val="20"/>
                <w:szCs w:val="20"/>
              </w:rPr>
              <w:t>d</w:t>
            </w:r>
          </w:p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(m)</w:t>
            </w:r>
          </w:p>
        </w:tc>
      </w:tr>
      <w:tr w:rsidR="00775BE9" w:rsidTr="006B3E45">
        <w:tc>
          <w:tcPr>
            <w:tcW w:w="1203" w:type="dxa"/>
            <w:tcBorders>
              <w:top w:val="dotted" w:sz="4" w:space="0" w:color="auto"/>
            </w:tcBorders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F1.1</w:t>
            </w:r>
          </w:p>
        </w:tc>
        <w:tc>
          <w:tcPr>
            <w:tcW w:w="1203" w:type="dxa"/>
            <w:vMerge w:val="restart"/>
            <w:vAlign w:val="center"/>
          </w:tcPr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49,70</w:t>
            </w: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2,10</w:t>
            </w: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13,50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28,35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371A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Pr="00317053" w:rsidRDefault="000518F0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6,30</w:t>
            </w:r>
          </w:p>
        </w:tc>
      </w:tr>
      <w:tr w:rsidR="00775BE9" w:rsidTr="006B3E45">
        <w:tc>
          <w:tcPr>
            <w:tcW w:w="1203" w:type="dxa"/>
            <w:tcBorders>
              <w:top w:val="dotted" w:sz="4" w:space="0" w:color="auto"/>
            </w:tcBorders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F1.2</w:t>
            </w:r>
          </w:p>
        </w:tc>
        <w:tc>
          <w:tcPr>
            <w:tcW w:w="1203" w:type="dxa"/>
            <w:vMerge/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775BE9" w:rsidRDefault="00775BE9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6,14</w:t>
            </w: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775BE9">
              <w:rPr>
                <w:bCs/>
                <w:sz w:val="20"/>
                <w:szCs w:val="20"/>
              </w:rPr>
              <w:t>,50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52,19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19,72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Pr="00236B3C" w:rsidRDefault="000518F0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7,10</w:t>
            </w:r>
          </w:p>
        </w:tc>
      </w:tr>
      <w:tr w:rsidR="00775BE9" w:rsidTr="006B3E45">
        <w:tc>
          <w:tcPr>
            <w:tcW w:w="1203" w:type="dxa"/>
            <w:tcBorders>
              <w:top w:val="dotted" w:sz="4" w:space="0" w:color="auto"/>
            </w:tcBorders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F2</w:t>
            </w:r>
          </w:p>
        </w:tc>
        <w:tc>
          <w:tcPr>
            <w:tcW w:w="1203" w:type="dxa"/>
            <w:vMerge/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3,67</w:t>
            </w: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775BE9" w:rsidRDefault="00371A18" w:rsidP="00371A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775BE9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>,945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58,51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15,08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Pr="00236B3C" w:rsidRDefault="000518F0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6,40</w:t>
            </w:r>
          </w:p>
        </w:tc>
      </w:tr>
      <w:tr w:rsidR="00775BE9" w:rsidTr="006B3E45">
        <w:tc>
          <w:tcPr>
            <w:tcW w:w="1203" w:type="dxa"/>
            <w:tcBorders>
              <w:top w:val="dotted" w:sz="4" w:space="0" w:color="auto"/>
            </w:tcBorders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F3.1</w:t>
            </w:r>
          </w:p>
        </w:tc>
        <w:tc>
          <w:tcPr>
            <w:tcW w:w="1203" w:type="dxa"/>
            <w:vMerge/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7,40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6,29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3,15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0518F0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4,40</w:t>
            </w:r>
          </w:p>
        </w:tc>
      </w:tr>
      <w:tr w:rsidR="00775BE9" w:rsidTr="006B3E45">
        <w:tc>
          <w:tcPr>
            <w:tcW w:w="1203" w:type="dxa"/>
            <w:tcBorders>
              <w:top w:val="dotted" w:sz="4" w:space="0" w:color="auto"/>
            </w:tcBorders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F3.2</w:t>
            </w:r>
          </w:p>
        </w:tc>
        <w:tc>
          <w:tcPr>
            <w:tcW w:w="1203" w:type="dxa"/>
            <w:vMerge/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3,67</w:t>
            </w: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13,50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49,54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24,92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204" w:type="dxa"/>
            <w:tcBorders>
              <w:top w:val="dotted" w:sz="4" w:space="0" w:color="auto"/>
            </w:tcBorders>
            <w:vAlign w:val="center"/>
          </w:tcPr>
          <w:p w:rsidR="00775BE9" w:rsidRDefault="000518F0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8,20</w:t>
            </w:r>
          </w:p>
        </w:tc>
      </w:tr>
      <w:tr w:rsidR="00775BE9" w:rsidTr="006B3E45">
        <w:tc>
          <w:tcPr>
            <w:tcW w:w="1203" w:type="dxa"/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F4</w:t>
            </w:r>
          </w:p>
        </w:tc>
        <w:tc>
          <w:tcPr>
            <w:tcW w:w="1203" w:type="dxa"/>
            <w:vMerge/>
          </w:tcPr>
          <w:p w:rsidR="00775BE9" w:rsidRDefault="00775BE9" w:rsidP="006B3E45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3" w:type="dxa"/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2,50</w:t>
            </w:r>
          </w:p>
        </w:tc>
        <w:tc>
          <w:tcPr>
            <w:tcW w:w="1203" w:type="dxa"/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22,04</w:t>
            </w:r>
          </w:p>
        </w:tc>
        <w:tc>
          <w:tcPr>
            <w:tcW w:w="1204" w:type="dxa"/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55,10</w:t>
            </w:r>
          </w:p>
        </w:tc>
        <w:tc>
          <w:tcPr>
            <w:tcW w:w="1204" w:type="dxa"/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14,74</w:t>
            </w:r>
          </w:p>
        </w:tc>
        <w:tc>
          <w:tcPr>
            <w:tcW w:w="1204" w:type="dxa"/>
            <w:vAlign w:val="center"/>
          </w:tcPr>
          <w:p w:rsidR="00775BE9" w:rsidRDefault="00371A18" w:rsidP="006B3E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204" w:type="dxa"/>
            <w:vAlign w:val="center"/>
          </w:tcPr>
          <w:p w:rsidR="00775BE9" w:rsidRPr="00E825DC" w:rsidRDefault="000518F0" w:rsidP="006B3E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3,40</w:t>
            </w:r>
          </w:p>
        </w:tc>
      </w:tr>
    </w:tbl>
    <w:p w:rsidR="00775BE9" w:rsidRDefault="00775BE9" w:rsidP="00775BE9">
      <w:pPr>
        <w:spacing w:after="0" w:line="240" w:lineRule="auto"/>
        <w:rPr>
          <w:bCs/>
          <w:sz w:val="20"/>
          <w:szCs w:val="20"/>
        </w:rPr>
      </w:pPr>
    </w:p>
    <w:p w:rsidR="007155F4" w:rsidRDefault="00775BE9" w:rsidP="007155F4">
      <w:pPr>
        <w:spacing w:after="0" w:line="240" w:lineRule="auto"/>
        <w:ind w:left="1410" w:hanging="1410"/>
        <w:rPr>
          <w:rFonts w:ascii="Consolas" w:hAnsi="Consolas" w:cs="Consolas"/>
          <w:bCs/>
          <w:sz w:val="18"/>
          <w:szCs w:val="20"/>
        </w:rPr>
      </w:pPr>
      <w:r w:rsidRPr="0066435D">
        <w:rPr>
          <w:rFonts w:ascii="Consolas" w:hAnsi="Consolas" w:cs="Consolas"/>
          <w:bCs/>
          <w:sz w:val="18"/>
          <w:szCs w:val="20"/>
        </w:rPr>
        <w:t>Poznámky:</w:t>
      </w:r>
      <w:r w:rsidRPr="0066435D">
        <w:rPr>
          <w:rFonts w:ascii="Consolas" w:hAnsi="Consolas" w:cs="Consolas"/>
          <w:bCs/>
          <w:sz w:val="18"/>
          <w:szCs w:val="20"/>
        </w:rPr>
        <w:tab/>
        <w:t>- odstupová vzdial</w:t>
      </w:r>
      <w:r>
        <w:rPr>
          <w:rFonts w:ascii="Consolas" w:hAnsi="Consolas" w:cs="Consolas"/>
          <w:bCs/>
          <w:sz w:val="18"/>
          <w:szCs w:val="20"/>
        </w:rPr>
        <w:t>e</w:t>
      </w:r>
      <w:r w:rsidRPr="0066435D">
        <w:rPr>
          <w:rFonts w:ascii="Consolas" w:hAnsi="Consolas" w:cs="Consolas"/>
          <w:bCs/>
          <w:sz w:val="18"/>
          <w:szCs w:val="20"/>
        </w:rPr>
        <w:t xml:space="preserve">nosť je určená </w:t>
      </w:r>
      <w:r w:rsidR="000518F0">
        <w:rPr>
          <w:rFonts w:ascii="Consolas" w:hAnsi="Consolas" w:cs="Consolas"/>
          <w:bCs/>
          <w:sz w:val="18"/>
          <w:szCs w:val="20"/>
        </w:rPr>
        <w:t xml:space="preserve">v zmysle STN 73 0802/Z2/O3:05-2017 Príloha E  </w:t>
      </w:r>
      <w:r w:rsidR="007155F4">
        <w:rPr>
          <w:rFonts w:ascii="Consolas" w:hAnsi="Consolas" w:cs="Consolas"/>
          <w:bCs/>
          <w:sz w:val="18"/>
          <w:szCs w:val="20"/>
        </w:rPr>
        <w:t xml:space="preserve"> </w:t>
      </w:r>
    </w:p>
    <w:p w:rsidR="00775BE9" w:rsidRPr="0066435D" w:rsidRDefault="007155F4" w:rsidP="007155F4">
      <w:pPr>
        <w:spacing w:after="0" w:line="240" w:lineRule="auto"/>
        <w:ind w:left="1410" w:firstLine="6"/>
        <w:rPr>
          <w:rFonts w:ascii="Consolas" w:hAnsi="Consolas" w:cs="Consolas"/>
          <w:bCs/>
          <w:sz w:val="18"/>
          <w:szCs w:val="20"/>
        </w:rPr>
      </w:pPr>
      <w:r>
        <w:rPr>
          <w:rFonts w:ascii="Consolas" w:hAnsi="Consolas" w:cs="Consolas"/>
          <w:bCs/>
          <w:sz w:val="18"/>
          <w:szCs w:val="20"/>
        </w:rPr>
        <w:t xml:space="preserve">  </w:t>
      </w:r>
      <w:r w:rsidR="000518F0">
        <w:rPr>
          <w:rFonts w:ascii="Consolas" w:hAnsi="Consolas" w:cs="Consolas"/>
          <w:bCs/>
          <w:sz w:val="18"/>
          <w:szCs w:val="20"/>
        </w:rPr>
        <w:t>tab. E.1, pričom medziľahlé hodnoty sú určené ako najbližšie vyššie.</w:t>
      </w:r>
    </w:p>
    <w:p w:rsidR="00775BE9" w:rsidRDefault="00775BE9" w:rsidP="001C121C">
      <w:pPr>
        <w:spacing w:after="0" w:line="240" w:lineRule="auto"/>
        <w:rPr>
          <w:bCs/>
          <w:sz w:val="20"/>
          <w:szCs w:val="20"/>
        </w:rPr>
      </w:pPr>
    </w:p>
    <w:p w:rsidR="00DD5035" w:rsidRDefault="00DD5035" w:rsidP="00DD5035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V zmysle STN 73 0802/Z2/O3:05-2017, čl. 8.4.6, písm. a) nie je potrebné vykonať porovnanie odstupových vzdialenosti s hodnotou získanou vynásobením celkovej výšky objektu súčiniteľom 0,37.</w:t>
      </w:r>
    </w:p>
    <w:p w:rsidR="00775BE9" w:rsidRPr="00CC75B3" w:rsidRDefault="00775BE9" w:rsidP="001C121C">
      <w:pPr>
        <w:spacing w:after="0" w:line="240" w:lineRule="auto"/>
        <w:rPr>
          <w:bCs/>
          <w:sz w:val="20"/>
          <w:szCs w:val="20"/>
        </w:rPr>
      </w:pPr>
    </w:p>
    <w:p w:rsidR="00CC75B3" w:rsidRPr="00211232" w:rsidRDefault="00CC75B3" w:rsidP="001C121C">
      <w:pPr>
        <w:spacing w:after="0" w:line="240" w:lineRule="auto"/>
        <w:rPr>
          <w:b/>
          <w:bCs/>
          <w:sz w:val="20"/>
          <w:szCs w:val="20"/>
        </w:rPr>
      </w:pPr>
      <w:r w:rsidRPr="00211232">
        <w:rPr>
          <w:b/>
          <w:bCs/>
          <w:sz w:val="20"/>
          <w:szCs w:val="20"/>
        </w:rPr>
        <w:t>2.6</w:t>
      </w:r>
      <w:r w:rsidR="00211232" w:rsidRPr="00211232">
        <w:rPr>
          <w:b/>
          <w:bCs/>
          <w:sz w:val="20"/>
          <w:szCs w:val="20"/>
        </w:rPr>
        <w:t xml:space="preserve"> Zariadenia na protipožiarny zásah a požiarnotechnické zariadenia</w:t>
      </w:r>
    </w:p>
    <w:p w:rsidR="00A01B5F" w:rsidRDefault="00A01B5F" w:rsidP="00A01B5F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V zmysle STN 73 0834/Z2:09-2015, čl. 2.2.4 pís. e) zariadenia na protipožiarny zásah nie je potrebne posudzovať nakoľko predmetnou zmenou stavby nedošlo k zväčšeniu úžitkovej plochy nadstavbou, prístavbou alebo vstavbou. Ostáva v platnosti pôvodné riešenie v plnom rozsahu bez akýchkoľvek zmien.</w:t>
      </w: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Pr="00CC75B3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A01B5F" w:rsidRPr="00A01B5F" w:rsidRDefault="00A01B5F" w:rsidP="00A01B5F">
      <w:pPr>
        <w:spacing w:after="0" w:line="240" w:lineRule="auto"/>
        <w:rPr>
          <w:b/>
          <w:sz w:val="24"/>
        </w:rPr>
      </w:pPr>
      <w:r>
        <w:rPr>
          <w:b/>
          <w:sz w:val="24"/>
        </w:rPr>
        <w:t>3</w:t>
      </w:r>
      <w:r w:rsidRPr="00A01B5F">
        <w:rPr>
          <w:b/>
          <w:sz w:val="24"/>
        </w:rPr>
        <w:t xml:space="preserve">. </w:t>
      </w:r>
      <w:r>
        <w:rPr>
          <w:b/>
          <w:sz w:val="24"/>
        </w:rPr>
        <w:t>URČENIE POŽIADAVIEK</w:t>
      </w:r>
    </w:p>
    <w:p w:rsidR="00A01B5F" w:rsidRDefault="00A01B5F" w:rsidP="00A01B5F">
      <w:pPr>
        <w:spacing w:after="0" w:line="240" w:lineRule="auto"/>
        <w:rPr>
          <w:b/>
          <w:sz w:val="20"/>
        </w:rPr>
      </w:pPr>
    </w:p>
    <w:p w:rsidR="00A01B5F" w:rsidRPr="00EE603D" w:rsidRDefault="00A01B5F" w:rsidP="00A01B5F">
      <w:pPr>
        <w:spacing w:after="0" w:line="240" w:lineRule="auto"/>
        <w:rPr>
          <w:b/>
          <w:sz w:val="20"/>
        </w:rPr>
      </w:pPr>
      <w:r w:rsidRPr="00EE603D">
        <w:rPr>
          <w:b/>
          <w:sz w:val="20"/>
        </w:rPr>
        <w:t>3.1 Posúdenie stupňa horľavosti (triedy reakcie na oheň) stavebných výrobkov – exteriér</w:t>
      </w:r>
    </w:p>
    <w:p w:rsidR="00A01B5F" w:rsidRDefault="00A01B5F" w:rsidP="00A01B5F">
      <w:pPr>
        <w:spacing w:after="0" w:line="240" w:lineRule="auto"/>
        <w:rPr>
          <w:sz w:val="20"/>
        </w:rPr>
      </w:pPr>
      <w:r>
        <w:rPr>
          <w:sz w:val="20"/>
        </w:rPr>
        <w:t>Navrhnutý KZS pozostávajúci z tepelnej izolácie na báze minerálnej vlny hr. 150mm (A1) je kotvený na nehorľavú obvodovú stenu 1.NP a 2.NP z tehlového muriva (A1). Navrhnutý KZS (A2-s1. d0) vyhovuje požiadavkám PBS v zmysle STN 73 0802/Z2/O3:05-2017 podľa čl. 6.2.7.5 a nie sú na neho kladené žiadne ďalšie požiadavky.</w:t>
      </w:r>
    </w:p>
    <w:p w:rsidR="00A01B5F" w:rsidRDefault="00A01B5F" w:rsidP="00A01B5F">
      <w:pPr>
        <w:spacing w:after="0" w:line="240" w:lineRule="auto"/>
        <w:rPr>
          <w:sz w:val="20"/>
        </w:rPr>
      </w:pPr>
    </w:p>
    <w:p w:rsidR="00A01B5F" w:rsidRDefault="00A01B5F" w:rsidP="00A01B5F">
      <w:pPr>
        <w:spacing w:after="0" w:line="240" w:lineRule="auto"/>
        <w:rPr>
          <w:sz w:val="20"/>
        </w:rPr>
      </w:pPr>
      <w:r>
        <w:rPr>
          <w:sz w:val="20"/>
        </w:rPr>
        <w:t xml:space="preserve">Navrhnutý KZS pozostávajúci z tepelnej izolácie na báze </w:t>
      </w:r>
      <w:r w:rsidR="00DF476D">
        <w:rPr>
          <w:sz w:val="20"/>
        </w:rPr>
        <w:t>extrudovaného polystyrénu hr. 15</w:t>
      </w:r>
      <w:r>
        <w:rPr>
          <w:sz w:val="20"/>
        </w:rPr>
        <w:t>0mm (E) je kotvený na nehorľavú obvodovú stenu sokel z tehlového muriva (A1). Navrhnutý KZS (B-s</w:t>
      </w:r>
      <w:r w:rsidR="00DF476D">
        <w:rPr>
          <w:sz w:val="20"/>
        </w:rPr>
        <w:t>2</w:t>
      </w:r>
      <w:r>
        <w:rPr>
          <w:sz w:val="20"/>
        </w:rPr>
        <w:t>, d0) vyhovuje požiadavkám PBS v zmysle STN 73 0802/Z2/O3:05-2017 podľa čl. 6.2.7.</w:t>
      </w:r>
      <w:r w:rsidR="00DF476D">
        <w:rPr>
          <w:sz w:val="20"/>
        </w:rPr>
        <w:t>5</w:t>
      </w:r>
      <w:r>
        <w:rPr>
          <w:sz w:val="20"/>
        </w:rPr>
        <w:t>.</w:t>
      </w:r>
      <w:r w:rsidR="00DF476D">
        <w:rPr>
          <w:sz w:val="20"/>
        </w:rPr>
        <w:t>7</w:t>
      </w:r>
      <w:r>
        <w:rPr>
          <w:sz w:val="20"/>
        </w:rPr>
        <w:t xml:space="preserve">. </w:t>
      </w:r>
    </w:p>
    <w:p w:rsidR="00DF476D" w:rsidRDefault="00DF476D" w:rsidP="00A01B5F">
      <w:pPr>
        <w:spacing w:after="0" w:line="240" w:lineRule="auto"/>
        <w:rPr>
          <w:sz w:val="20"/>
        </w:rPr>
      </w:pPr>
    </w:p>
    <w:p w:rsidR="00DF476D" w:rsidRDefault="00DF476D" w:rsidP="00DF476D">
      <w:pPr>
        <w:spacing w:after="0" w:line="240" w:lineRule="auto"/>
        <w:rPr>
          <w:sz w:val="20"/>
        </w:rPr>
      </w:pPr>
      <w:r>
        <w:rPr>
          <w:sz w:val="20"/>
        </w:rPr>
        <w:t xml:space="preserve">Navrhnutý KZS pozostávajúci z tepelnej izolácie na báze extrudovaného polystyrénu hr. 150mm (E) je kotvený na nehorľavú obvodovú stenu 1.PP z tehlového muriva (A1). Navrhnutý KZS (B-s2, d0) vyhovuje požiadavkám PBS v zmysle STN 73 0802/Z2/O3:05-2017 podľa čl. 6.2.7.5.8. </w:t>
      </w:r>
    </w:p>
    <w:p w:rsidR="00A01B5F" w:rsidRDefault="00A01B5F" w:rsidP="00A01B5F">
      <w:pPr>
        <w:spacing w:after="0" w:line="240" w:lineRule="auto"/>
        <w:rPr>
          <w:sz w:val="20"/>
        </w:rPr>
      </w:pPr>
    </w:p>
    <w:p w:rsidR="00DF476D" w:rsidRDefault="00DF476D" w:rsidP="00A01B5F">
      <w:pPr>
        <w:spacing w:after="0" w:line="240" w:lineRule="auto"/>
        <w:rPr>
          <w:sz w:val="20"/>
        </w:rPr>
      </w:pPr>
    </w:p>
    <w:p w:rsidR="00DF476D" w:rsidRDefault="00DF476D" w:rsidP="00A01B5F">
      <w:pPr>
        <w:spacing w:after="0" w:line="240" w:lineRule="auto"/>
        <w:rPr>
          <w:sz w:val="20"/>
        </w:rPr>
      </w:pPr>
    </w:p>
    <w:p w:rsidR="00A01B5F" w:rsidRDefault="00A01B5F" w:rsidP="00A01B5F">
      <w:pPr>
        <w:spacing w:after="0" w:line="240" w:lineRule="auto"/>
        <w:rPr>
          <w:b/>
          <w:sz w:val="20"/>
        </w:rPr>
      </w:pPr>
      <w:r>
        <w:rPr>
          <w:b/>
          <w:sz w:val="20"/>
        </w:rPr>
        <w:lastRenderedPageBreak/>
        <w:t>3.2 Posúdenie stupňa horľavosti (triedy reakcie na oheň) stavebných výrobkov – interiér</w:t>
      </w:r>
    </w:p>
    <w:p w:rsidR="00A01B5F" w:rsidRPr="00CA0F11" w:rsidRDefault="00A01B5F" w:rsidP="00A01B5F">
      <w:pPr>
        <w:spacing w:after="0" w:line="240" w:lineRule="auto"/>
        <w:rPr>
          <w:sz w:val="20"/>
        </w:rPr>
      </w:pPr>
      <w:r w:rsidRPr="00CA0F11">
        <w:rPr>
          <w:sz w:val="20"/>
        </w:rPr>
        <w:t>Navrhnuté zateplenie stropov</w:t>
      </w:r>
      <w:r>
        <w:rPr>
          <w:sz w:val="20"/>
        </w:rPr>
        <w:t xml:space="preserve"> pozostávajúce z tepelnej izolácie na báze minerálnej vlny hr. 300mm (A1) je v súlade s STN 73 0802/Z2/O3:05-2017, čl. 6.2.7.11 ktorý hovorí, že na zateplenie stropných alebo stenových konštrukcií vo vnútri stavby sa navrhujú iba tepelné izolácie triedy reakcie na oheň A2-s1, d0.</w:t>
      </w:r>
    </w:p>
    <w:p w:rsidR="00A01B5F" w:rsidRDefault="00A01B5F" w:rsidP="00A01B5F">
      <w:pPr>
        <w:spacing w:after="0" w:line="240" w:lineRule="auto"/>
        <w:rPr>
          <w:b/>
          <w:sz w:val="20"/>
        </w:rPr>
      </w:pPr>
    </w:p>
    <w:p w:rsidR="00A01B5F" w:rsidRPr="00C66CF4" w:rsidRDefault="00A01B5F" w:rsidP="00A01B5F">
      <w:pPr>
        <w:spacing w:after="0" w:line="240" w:lineRule="auto"/>
        <w:rPr>
          <w:b/>
          <w:sz w:val="20"/>
        </w:rPr>
      </w:pPr>
      <w:r w:rsidRPr="00C66CF4">
        <w:rPr>
          <w:b/>
          <w:sz w:val="20"/>
        </w:rPr>
        <w:t>3.</w:t>
      </w:r>
      <w:r>
        <w:rPr>
          <w:b/>
          <w:sz w:val="20"/>
        </w:rPr>
        <w:t>3</w:t>
      </w:r>
      <w:r w:rsidRPr="00C66CF4">
        <w:rPr>
          <w:b/>
          <w:sz w:val="20"/>
        </w:rPr>
        <w:t xml:space="preserve"> Posúdenie strešného plášťa</w:t>
      </w:r>
    </w:p>
    <w:p w:rsidR="00A01B5F" w:rsidRDefault="00A01B5F" w:rsidP="00A01B5F">
      <w:pPr>
        <w:spacing w:after="0" w:line="240" w:lineRule="auto"/>
        <w:rPr>
          <w:sz w:val="20"/>
        </w:rPr>
      </w:pPr>
      <w:r>
        <w:rPr>
          <w:sz w:val="20"/>
        </w:rPr>
        <w:t>V zmysle STN 73 0834/Z2:09-2015 podľa čl. 2.2.1 pís. a) sa výmena jednotlivých stavebných konštrukcií považuje za zmenu stavby skupiny I. Nakoľko ide o výmenu plech</w:t>
      </w:r>
      <w:r w:rsidR="00DF476D">
        <w:rPr>
          <w:sz w:val="20"/>
        </w:rPr>
        <w:t>ovej krytiny</w:t>
      </w:r>
      <w:r>
        <w:rPr>
          <w:sz w:val="20"/>
        </w:rPr>
        <w:t xml:space="preserve"> za nov</w:t>
      </w:r>
      <w:r w:rsidR="00DF476D">
        <w:rPr>
          <w:sz w:val="20"/>
        </w:rPr>
        <w:t>ú</w:t>
      </w:r>
      <w:r>
        <w:rPr>
          <w:sz w:val="20"/>
        </w:rPr>
        <w:t xml:space="preserve"> plech</w:t>
      </w:r>
      <w:r w:rsidR="00DF476D">
        <w:rPr>
          <w:sz w:val="20"/>
        </w:rPr>
        <w:t>ovú krytinu</w:t>
      </w:r>
      <w:r>
        <w:rPr>
          <w:sz w:val="20"/>
        </w:rPr>
        <w:t xml:space="preserve"> sú splnené požiadavky v zmysle STN 73 0834/Z2:09-2015 podľa čl. 2.2.2 a nevyžadujú si ďalšie opatrenia.</w:t>
      </w:r>
    </w:p>
    <w:p w:rsidR="00A01B5F" w:rsidRDefault="00A01B5F" w:rsidP="00A01B5F">
      <w:pPr>
        <w:spacing w:after="0" w:line="240" w:lineRule="auto"/>
        <w:rPr>
          <w:sz w:val="20"/>
        </w:rPr>
      </w:pPr>
    </w:p>
    <w:p w:rsidR="00A01B5F" w:rsidRPr="008A5F0E" w:rsidRDefault="00A01B5F" w:rsidP="00A01B5F">
      <w:pPr>
        <w:spacing w:after="0" w:line="240" w:lineRule="auto"/>
        <w:rPr>
          <w:b/>
          <w:sz w:val="20"/>
        </w:rPr>
      </w:pPr>
      <w:r>
        <w:rPr>
          <w:b/>
          <w:sz w:val="20"/>
        </w:rPr>
        <w:t>3.4</w:t>
      </w:r>
      <w:r w:rsidRPr="008A5F0E">
        <w:rPr>
          <w:b/>
          <w:sz w:val="20"/>
        </w:rPr>
        <w:t xml:space="preserve"> Bleskozvod a ochrana proti blesku</w:t>
      </w:r>
    </w:p>
    <w:p w:rsidR="00A01B5F" w:rsidRDefault="00A01B5F" w:rsidP="00A01B5F">
      <w:pPr>
        <w:spacing w:after="0" w:line="240" w:lineRule="auto"/>
        <w:rPr>
          <w:sz w:val="20"/>
        </w:rPr>
      </w:pPr>
      <w:r>
        <w:rPr>
          <w:sz w:val="20"/>
        </w:rPr>
        <w:t>Požiadavky na bleskozvod z hľadiska PBS:</w:t>
      </w:r>
    </w:p>
    <w:p w:rsidR="00A01B5F" w:rsidRDefault="00A01B5F" w:rsidP="00A01B5F">
      <w:pPr>
        <w:spacing w:after="0" w:line="240" w:lineRule="auto"/>
        <w:rPr>
          <w:sz w:val="20"/>
        </w:rPr>
      </w:pPr>
      <w:r>
        <w:rPr>
          <w:sz w:val="20"/>
        </w:rPr>
        <w:tab/>
        <w:t>- vedenie bleskozvodu na strešnej konštrukcií vo vzdialenosti viac ako 100mm od úrovne strešného plášťa</w:t>
      </w:r>
    </w:p>
    <w:p w:rsidR="00A01B5F" w:rsidRDefault="00A01B5F" w:rsidP="00A01B5F">
      <w:pPr>
        <w:spacing w:after="0" w:line="240" w:lineRule="auto"/>
        <w:rPr>
          <w:sz w:val="20"/>
        </w:rPr>
      </w:pPr>
      <w:r>
        <w:rPr>
          <w:sz w:val="20"/>
        </w:rPr>
        <w:tab/>
        <w:t xml:space="preserve">- zvislé zvodové vedenie vyhotoviť na podperách (kotvených do muriva) vo vzdialenosti viac ako 100mm od </w:t>
      </w:r>
    </w:p>
    <w:p w:rsidR="00A01B5F" w:rsidRDefault="00A01B5F" w:rsidP="00A01B5F">
      <w:pPr>
        <w:spacing w:after="0" w:line="240" w:lineRule="auto"/>
        <w:ind w:firstLine="708"/>
        <w:rPr>
          <w:sz w:val="20"/>
        </w:rPr>
      </w:pPr>
      <w:r>
        <w:rPr>
          <w:sz w:val="20"/>
        </w:rPr>
        <w:t xml:space="preserve">úrovne obvodového plášťa. V prípade ak sa bleskozvod vedie v konštrukcií obvodovej steny je nutné vodič </w:t>
      </w:r>
    </w:p>
    <w:p w:rsidR="00A01B5F" w:rsidRDefault="00A01B5F" w:rsidP="00A01B5F">
      <w:pPr>
        <w:spacing w:after="0" w:line="240" w:lineRule="auto"/>
        <w:ind w:firstLine="708"/>
        <w:rPr>
          <w:sz w:val="20"/>
        </w:rPr>
      </w:pPr>
      <w:r>
        <w:rPr>
          <w:sz w:val="20"/>
        </w:rPr>
        <w:t xml:space="preserve">osadiť do rúrky z nehorľavého materiálu (A1). V takom prípade vedenia bleskozvodu musí byť obvodová stena </w:t>
      </w:r>
    </w:p>
    <w:p w:rsidR="00A01B5F" w:rsidRDefault="00A01B5F" w:rsidP="00A01B5F">
      <w:pPr>
        <w:spacing w:after="0" w:line="240" w:lineRule="auto"/>
        <w:ind w:firstLine="708"/>
        <w:rPr>
          <w:sz w:val="20"/>
        </w:rPr>
      </w:pPr>
      <w:r>
        <w:rPr>
          <w:sz w:val="20"/>
        </w:rPr>
        <w:t>z nehorľavých materiálov vo vzdialenosti viac ako 200mm od osi bleskozvodu.</w:t>
      </w:r>
    </w:p>
    <w:p w:rsidR="00A01B5F" w:rsidRDefault="00A01B5F" w:rsidP="00A01B5F">
      <w:pPr>
        <w:spacing w:after="0" w:line="240" w:lineRule="auto"/>
        <w:rPr>
          <w:sz w:val="20"/>
        </w:rPr>
      </w:pPr>
    </w:p>
    <w:p w:rsidR="00A01B5F" w:rsidRDefault="00A01B5F" w:rsidP="00A01B5F">
      <w:pPr>
        <w:spacing w:after="0" w:line="240" w:lineRule="auto"/>
        <w:rPr>
          <w:sz w:val="20"/>
        </w:rPr>
      </w:pPr>
      <w:r>
        <w:rPr>
          <w:sz w:val="20"/>
        </w:rPr>
        <w:t>Po skončení stavebných prác a pred odovzdaním a kolaudáciou stavby je potrebné spracovať revíznu správu bleskozvodu.</w:t>
      </w:r>
    </w:p>
    <w:p w:rsidR="00A01B5F" w:rsidRDefault="00A01B5F" w:rsidP="00872022">
      <w:pPr>
        <w:spacing w:after="0" w:line="240" w:lineRule="auto"/>
        <w:rPr>
          <w:b/>
          <w:sz w:val="24"/>
        </w:rPr>
      </w:pPr>
    </w:p>
    <w:p w:rsidR="00A01B5F" w:rsidRDefault="00A01B5F" w:rsidP="00872022">
      <w:pPr>
        <w:spacing w:after="0" w:line="240" w:lineRule="auto"/>
        <w:rPr>
          <w:b/>
          <w:sz w:val="24"/>
        </w:rPr>
      </w:pPr>
    </w:p>
    <w:p w:rsidR="00872022" w:rsidRPr="00A01B5F" w:rsidRDefault="00A01B5F" w:rsidP="00872022">
      <w:pPr>
        <w:spacing w:after="0" w:line="240" w:lineRule="auto"/>
        <w:rPr>
          <w:b/>
          <w:sz w:val="24"/>
        </w:rPr>
      </w:pPr>
      <w:r>
        <w:rPr>
          <w:b/>
          <w:sz w:val="24"/>
        </w:rPr>
        <w:t>4</w:t>
      </w:r>
      <w:r w:rsidR="00872022" w:rsidRPr="00A01B5F">
        <w:rPr>
          <w:b/>
          <w:sz w:val="24"/>
        </w:rPr>
        <w:t>. ZÁVER</w:t>
      </w:r>
    </w:p>
    <w:p w:rsidR="00872022" w:rsidRDefault="00872022" w:rsidP="00872022">
      <w:pPr>
        <w:spacing w:after="0" w:line="240" w:lineRule="auto"/>
        <w:rPr>
          <w:sz w:val="20"/>
          <w:szCs w:val="20"/>
          <w:u w:val="single"/>
        </w:rPr>
      </w:pPr>
    </w:p>
    <w:p w:rsidR="00872022" w:rsidRDefault="00872022" w:rsidP="00872022">
      <w:pPr>
        <w:spacing w:after="0" w:line="240" w:lineRule="auto"/>
      </w:pPr>
      <w:r w:rsidRPr="00AB5BCA">
        <w:rPr>
          <w:sz w:val="20"/>
          <w:szCs w:val="20"/>
          <w:u w:val="single"/>
        </w:rPr>
        <w:t>N</w:t>
      </w:r>
      <w:r>
        <w:rPr>
          <w:sz w:val="20"/>
          <w:szCs w:val="20"/>
          <w:u w:val="single"/>
        </w:rPr>
        <w:t>avrhovaná stavba spĺňa všetky požiadavky z hľadiska protipožiarnej bezpečnosti stavby v zmysle platných STN a technických predpisov z odboru ochrany pred požiarmi, platných v čase spracovania. Prípadné zmeny v stavebnom riešení, spôsobe využitia budovy alebo iných zmien je potrebné ich oznámenie projektantovi (špecialistovi požiarnej ochrany) na opätovné posúdenie tohto projektu. V prípade neoznámenia zmien projektu, projektant nezodpovedá za prípadne vzniknuté škody.</w:t>
      </w:r>
    </w:p>
    <w:p w:rsidR="00872022" w:rsidRDefault="00872022" w:rsidP="00872022">
      <w:pPr>
        <w:spacing w:after="0" w:line="240" w:lineRule="auto"/>
        <w:rPr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872022" w:rsidRDefault="00872022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EC5385" w:rsidRDefault="00EC5385" w:rsidP="001C121C">
      <w:pPr>
        <w:spacing w:after="0" w:line="240" w:lineRule="auto"/>
        <w:rPr>
          <w:bCs/>
          <w:sz w:val="20"/>
          <w:szCs w:val="20"/>
        </w:rPr>
      </w:pPr>
    </w:p>
    <w:p w:rsidR="00872022" w:rsidRDefault="00872022" w:rsidP="001C121C">
      <w:pPr>
        <w:spacing w:after="0" w:line="240" w:lineRule="auto"/>
        <w:rPr>
          <w:bCs/>
          <w:sz w:val="20"/>
          <w:szCs w:val="20"/>
        </w:rPr>
      </w:pPr>
    </w:p>
    <w:p w:rsidR="00872022" w:rsidRDefault="00872022" w:rsidP="00872022">
      <w:pPr>
        <w:spacing w:after="0" w:line="240" w:lineRule="auto"/>
        <w:rPr>
          <w:sz w:val="20"/>
          <w:szCs w:val="20"/>
        </w:rPr>
      </w:pPr>
      <w:r w:rsidRPr="00AB5BCA">
        <w:rPr>
          <w:sz w:val="20"/>
          <w:szCs w:val="20"/>
        </w:rPr>
        <w:t>V</w:t>
      </w:r>
      <w:r>
        <w:rPr>
          <w:sz w:val="20"/>
          <w:szCs w:val="20"/>
        </w:rPr>
        <w:t> </w:t>
      </w:r>
      <w:r w:rsidRPr="00AB5BCA">
        <w:rPr>
          <w:sz w:val="20"/>
          <w:szCs w:val="20"/>
        </w:rPr>
        <w:t>Košiciach</w:t>
      </w:r>
      <w:r>
        <w:rPr>
          <w:sz w:val="20"/>
          <w:szCs w:val="20"/>
        </w:rPr>
        <w:t>,</w:t>
      </w:r>
      <w:r w:rsidRPr="00AB5BCA">
        <w:rPr>
          <w:sz w:val="20"/>
          <w:szCs w:val="20"/>
        </w:rPr>
        <w:t xml:space="preserve"> </w:t>
      </w:r>
      <w:r w:rsidR="00EC5385">
        <w:rPr>
          <w:sz w:val="20"/>
          <w:szCs w:val="20"/>
        </w:rPr>
        <w:t>apríl</w:t>
      </w:r>
      <w:r w:rsidRPr="00AB5BCA">
        <w:rPr>
          <w:sz w:val="20"/>
          <w:szCs w:val="20"/>
        </w:rPr>
        <w:t xml:space="preserve"> 20</w:t>
      </w:r>
      <w:r>
        <w:rPr>
          <w:sz w:val="20"/>
          <w:szCs w:val="20"/>
        </w:rPr>
        <w:t>2</w:t>
      </w:r>
      <w:r w:rsidR="00211232">
        <w:rPr>
          <w:sz w:val="20"/>
          <w:szCs w:val="20"/>
        </w:rPr>
        <w:t>1</w:t>
      </w:r>
      <w:r w:rsidRPr="00AB5BCA">
        <w:rPr>
          <w:sz w:val="20"/>
          <w:szCs w:val="20"/>
        </w:rPr>
        <w:tab/>
      </w:r>
      <w:r w:rsidRPr="00AB5BC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B5BCA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Pr="00AB5BCA">
        <w:rPr>
          <w:sz w:val="20"/>
          <w:szCs w:val="20"/>
        </w:rPr>
        <w:tab/>
        <w:t xml:space="preserve"> </w:t>
      </w:r>
      <w:r w:rsidRPr="00AB5BCA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AB5BCA">
        <w:rPr>
          <w:sz w:val="20"/>
          <w:szCs w:val="20"/>
        </w:rPr>
        <w:t>Vypracoval: Ing. Pavol BRIJA</w:t>
      </w:r>
    </w:p>
    <w:p w:rsidR="00872022" w:rsidRDefault="00872022" w:rsidP="00872022">
      <w:pPr>
        <w:spacing w:after="0" w:line="240" w:lineRule="auto"/>
        <w:rPr>
          <w:sz w:val="20"/>
          <w:szCs w:val="20"/>
        </w:rPr>
        <w:sectPr w:rsidR="00872022" w:rsidSect="00D52EE9">
          <w:headerReference w:type="default" r:id="rId8"/>
          <w:type w:val="continuous"/>
          <w:pgSz w:w="11906" w:h="16838" w:code="9"/>
          <w:pgMar w:top="1134" w:right="1134" w:bottom="1134" w:left="1134" w:header="851" w:footer="851" w:gutter="0"/>
          <w:pgNumType w:start="1"/>
          <w:cols w:space="708"/>
          <w:docGrid w:linePitch="360"/>
        </w:sectPr>
      </w:pPr>
    </w:p>
    <w:p w:rsidR="00275877" w:rsidRDefault="00275877" w:rsidP="00275877">
      <w:pPr>
        <w:spacing w:after="0" w:line="240" w:lineRule="auto"/>
        <w:rPr>
          <w:b/>
        </w:rPr>
      </w:pPr>
      <w:r>
        <w:rPr>
          <w:b/>
        </w:rPr>
        <w:lastRenderedPageBreak/>
        <w:t>PRÍLOHA č. 1</w:t>
      </w:r>
      <w:bookmarkStart w:id="0" w:name="_GoBack"/>
      <w:bookmarkEnd w:id="0"/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tbl>
      <w:tblPr>
        <w:tblW w:w="98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2"/>
        <w:gridCol w:w="3740"/>
        <w:gridCol w:w="3380"/>
        <w:gridCol w:w="820"/>
        <w:gridCol w:w="186"/>
        <w:gridCol w:w="820"/>
      </w:tblGrid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B3E45" w:rsidRPr="006B3E45" w:rsidTr="006B3E45">
        <w:trPr>
          <w:trHeight w:val="315"/>
        </w:trPr>
        <w:tc>
          <w:tcPr>
            <w:tcW w:w="981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sk-SK"/>
              </w:rPr>
              <w:t>Starý stav:</w:t>
            </w:r>
          </w:p>
        </w:tc>
      </w:tr>
      <w:tr w:rsidR="006B3E45" w:rsidRPr="006B3E45" w:rsidTr="006B3E45">
        <w:trPr>
          <w:trHeight w:val="315"/>
        </w:trPr>
        <w:tc>
          <w:tcPr>
            <w:tcW w:w="98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Požiarny úsek N1.01</w:t>
            </w:r>
          </w:p>
        </w:tc>
      </w:tr>
      <w:tr w:rsidR="006B3E45" w:rsidRPr="006B3E45" w:rsidTr="006B3E45">
        <w:trPr>
          <w:trHeight w:val="315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p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v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Výpočtové požiarne zaťaženie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čl. 4.2.1)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60,55</w:t>
            </w: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kg.m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perscript"/>
                <w:lang w:eastAsia="sk-SK"/>
              </w:rPr>
              <w:t>-2</w:t>
            </w:r>
          </w:p>
        </w:tc>
      </w:tr>
      <w:tr w:rsidR="006B3E45" w:rsidRPr="006B3E45" w:rsidTr="006B3E45">
        <w:trPr>
          <w:trHeight w:val="315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Stupeň požiarnej bezpečnosti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tab. 8)</w:t>
            </w:r>
          </w:p>
        </w:tc>
        <w:tc>
          <w:tcPr>
            <w:tcW w:w="18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III.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p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Požiarne zaťaženie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čl. 4.3.1)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40,52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kg.m</w:t>
            </w: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sk-SK"/>
              </w:rPr>
              <w:t>-2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a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Súčiniteľ horľavých látok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čl. 4.4.3)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1,04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b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Súčiniteľ odvetrania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čl. 4.5.1)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1,44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c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Účinnosť požiarnobezpečnostných opatrení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čl. 4.6)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S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skut</w:t>
            </w:r>
          </w:p>
        </w:tc>
        <w:tc>
          <w:tcPr>
            <w:tcW w:w="7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Skutočná pôdorysná plocha požiarneho úseku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773,97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šírka</w:t>
            </w:r>
          </w:p>
        </w:tc>
        <w:tc>
          <w:tcPr>
            <w:tcW w:w="712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Najväčšie dovolené rozmery požiarneho úseku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38,40</w:t>
            </w:r>
          </w:p>
        </w:tc>
        <w:tc>
          <w:tcPr>
            <w:tcW w:w="18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dĺžka</w:t>
            </w:r>
          </w:p>
        </w:tc>
        <w:tc>
          <w:tcPr>
            <w:tcW w:w="712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59,50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</w:p>
        </w:tc>
      </w:tr>
      <w:tr w:rsidR="006B3E45" w:rsidRPr="006B3E45" w:rsidTr="006B3E45">
        <w:trPr>
          <w:trHeight w:val="315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S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max</w:t>
            </w:r>
          </w:p>
        </w:tc>
        <w:tc>
          <w:tcPr>
            <w:tcW w:w="7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Dovolená pôdorysná plocha požiarneho úseku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2284,80</w:t>
            </w: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</w:tr>
      <w:tr w:rsidR="006B3E45" w:rsidRPr="006B3E45" w:rsidTr="006B3E45">
        <w:trPr>
          <w:trHeight w:val="315"/>
        </w:trPr>
        <w:tc>
          <w:tcPr>
            <w:tcW w:w="7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Posúdenie pôdorysných rozmerov požiarneho úseku</w:t>
            </w:r>
          </w:p>
        </w:tc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VYHOVUJE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n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pn</w:t>
            </w:r>
          </w:p>
        </w:tc>
        <w:tc>
          <w:tcPr>
            <w:tcW w:w="7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Skutočný počet podlaží požiarneho úseku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6B3E45">
        <w:trPr>
          <w:trHeight w:val="315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z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1</w:t>
            </w:r>
          </w:p>
        </w:tc>
        <w:tc>
          <w:tcPr>
            <w:tcW w:w="7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Najväčší dovolený počet požiarnych podlaží v požiarnom úseku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6B3E45">
        <w:trPr>
          <w:trHeight w:val="315"/>
        </w:trPr>
        <w:tc>
          <w:tcPr>
            <w:tcW w:w="7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Posúdenie najväčšieho dovoleného počtu požiarnych podlaží</w:t>
            </w:r>
          </w:p>
        </w:tc>
        <w:tc>
          <w:tcPr>
            <w:tcW w:w="1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NEVYHOVUJE</w:t>
            </w:r>
          </w:p>
        </w:tc>
      </w:tr>
      <w:tr w:rsidR="006B3E45" w:rsidRPr="006B3E45" w:rsidTr="006B3E45">
        <w:trPr>
          <w:trHeight w:val="315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h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p</w:t>
            </w:r>
          </w:p>
        </w:tc>
        <w:tc>
          <w:tcPr>
            <w:tcW w:w="7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Výška stavby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3,165</w:t>
            </w: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</w:p>
        </w:tc>
      </w:tr>
      <w:tr w:rsidR="006B3E45" w:rsidRPr="006B3E45" w:rsidTr="006B3E45">
        <w:trPr>
          <w:trHeight w:val="315"/>
        </w:trPr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B3E45" w:rsidRPr="006B3E45" w:rsidTr="006B3E45">
        <w:trPr>
          <w:trHeight w:val="315"/>
        </w:trPr>
        <w:tc>
          <w:tcPr>
            <w:tcW w:w="98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Vstupné hodnoty pre výpočet súčiniteľa odvetrania "b"</w:t>
            </w:r>
          </w:p>
        </w:tc>
      </w:tr>
      <w:tr w:rsidR="006B3E45" w:rsidRPr="006B3E45" w:rsidTr="006B3E45">
        <w:trPr>
          <w:trHeight w:val="315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S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o</w:t>
            </w:r>
          </w:p>
        </w:tc>
        <w:tc>
          <w:tcPr>
            <w:tcW w:w="712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Celková plocha otvorov v obvodových konštrukciách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73,4838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h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o</w:t>
            </w:r>
          </w:p>
        </w:tc>
        <w:tc>
          <w:tcPr>
            <w:tcW w:w="7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Priemerná výška otvorov v obvodových konštrukciách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2,03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h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s</w:t>
            </w:r>
          </w:p>
        </w:tc>
        <w:tc>
          <w:tcPr>
            <w:tcW w:w="7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Priemerná svetlá výška priestorov v požiarnom úseku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3,63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n</w:t>
            </w:r>
          </w:p>
        </w:tc>
        <w:tc>
          <w:tcPr>
            <w:tcW w:w="7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Pomerový súčiniteľ odvetrania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0,072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6B3E45">
        <w:trPr>
          <w:trHeight w:val="315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k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Súčiniteľ geometrie otvorov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 xml:space="preserve">(STN 73 0802/Z2/O3:05-2017, tab. </w:t>
            </w:r>
            <w:r w:rsidRPr="006B3E45">
              <w:rPr>
                <w:rFonts w:ascii="Calibri" w:eastAsia="Times New Roman" w:hAnsi="Calibri" w:cs="Times New Roman"/>
                <w:b/>
                <w:bCs/>
                <w:i/>
                <w:iCs/>
                <w:color w:val="0070C0"/>
                <w:sz w:val="20"/>
                <w:szCs w:val="20"/>
                <w:lang w:eastAsia="sk-SK"/>
              </w:rPr>
              <w:t>D.2</w:t>
            </w: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0,195</w:t>
            </w: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6B3E45">
        <w:trPr>
          <w:trHeight w:val="300"/>
        </w:trPr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211232" w:rsidRDefault="00211232" w:rsidP="001C121C">
      <w:pPr>
        <w:spacing w:after="0" w:line="240" w:lineRule="auto"/>
        <w:rPr>
          <w:bCs/>
          <w:sz w:val="20"/>
          <w:szCs w:val="20"/>
        </w:rPr>
      </w:pPr>
    </w:p>
    <w:p w:rsidR="008570D8" w:rsidRDefault="008570D8" w:rsidP="001C121C">
      <w:pPr>
        <w:spacing w:after="0" w:line="240" w:lineRule="auto"/>
        <w:rPr>
          <w:bCs/>
          <w:sz w:val="20"/>
          <w:szCs w:val="20"/>
        </w:rPr>
        <w:sectPr w:rsidR="008570D8" w:rsidSect="00D52EE9">
          <w:headerReference w:type="default" r:id="rId9"/>
          <w:type w:val="continuous"/>
          <w:pgSz w:w="11906" w:h="16838" w:code="9"/>
          <w:pgMar w:top="1134" w:right="1134" w:bottom="1134" w:left="1134" w:header="851" w:footer="851" w:gutter="0"/>
          <w:cols w:space="708"/>
          <w:docGrid w:linePitch="360"/>
        </w:sectPr>
      </w:pPr>
    </w:p>
    <w:p w:rsidR="00211232" w:rsidRDefault="00281C11" w:rsidP="001C121C">
      <w:pPr>
        <w:spacing w:after="0" w:line="240" w:lineRule="auto"/>
        <w:rPr>
          <w:bCs/>
          <w:sz w:val="20"/>
          <w:szCs w:val="20"/>
        </w:rPr>
      </w:pPr>
      <w:r w:rsidRPr="00281C11">
        <w:rPr>
          <w:noProof/>
          <w:lang w:eastAsia="sk-SK"/>
        </w:rPr>
        <w:lastRenderedPageBreak/>
        <w:drawing>
          <wp:inline distT="0" distB="0" distL="0" distR="0">
            <wp:extent cx="9611360" cy="5180792"/>
            <wp:effectExtent l="0" t="0" r="0" b="1270"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518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45" w:rsidRDefault="006B3E45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</w:pPr>
    </w:p>
    <w:p w:rsidR="00281C11" w:rsidRDefault="00281C11" w:rsidP="001C121C">
      <w:pPr>
        <w:spacing w:after="0" w:line="240" w:lineRule="auto"/>
        <w:rPr>
          <w:bCs/>
          <w:sz w:val="20"/>
          <w:szCs w:val="20"/>
        </w:rPr>
        <w:sectPr w:rsidR="00281C11" w:rsidSect="006B3E45">
          <w:pgSz w:w="16838" w:h="11906" w:orient="landscape" w:code="9"/>
          <w:pgMar w:top="284" w:right="851" w:bottom="284" w:left="851" w:header="284" w:footer="284" w:gutter="0"/>
          <w:cols w:space="708"/>
          <w:docGrid w:linePitch="360"/>
        </w:sectPr>
      </w:pPr>
      <w:r w:rsidRPr="00281C11">
        <w:rPr>
          <w:noProof/>
          <w:lang w:eastAsia="sk-SK"/>
        </w:rPr>
        <w:drawing>
          <wp:inline distT="0" distB="0" distL="0" distR="0">
            <wp:extent cx="9611360" cy="3347698"/>
            <wp:effectExtent l="0" t="0" r="0" b="5715"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334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877" w:rsidRDefault="00275877" w:rsidP="00281C11">
      <w:pPr>
        <w:spacing w:after="0" w:line="240" w:lineRule="auto"/>
        <w:rPr>
          <w:b/>
        </w:rPr>
      </w:pPr>
      <w:r>
        <w:rPr>
          <w:b/>
        </w:rPr>
        <w:lastRenderedPageBreak/>
        <w:t>PRÍLOHA č. 2</w:t>
      </w:r>
    </w:p>
    <w:p w:rsidR="006B3E45" w:rsidRDefault="006B3E45" w:rsidP="00275877">
      <w:pPr>
        <w:spacing w:after="0" w:line="240" w:lineRule="auto"/>
        <w:rPr>
          <w:b/>
        </w:rPr>
      </w:pPr>
    </w:p>
    <w:p w:rsidR="006B3E45" w:rsidRDefault="006B3E45" w:rsidP="00275877">
      <w:pPr>
        <w:spacing w:after="0" w:line="240" w:lineRule="auto"/>
        <w:rPr>
          <w:b/>
        </w:rPr>
      </w:pPr>
    </w:p>
    <w:tbl>
      <w:tblPr>
        <w:tblW w:w="10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0"/>
        <w:gridCol w:w="3756"/>
        <w:gridCol w:w="3396"/>
        <w:gridCol w:w="836"/>
        <w:gridCol w:w="186"/>
        <w:gridCol w:w="836"/>
      </w:tblGrid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04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sk-SK"/>
              </w:rPr>
              <w:t>Navrhovaný stav: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04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Požiarny úsek N1.01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p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v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Výpočtové požiarne zaťaženie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čl. 4.2.1)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49,70</w:t>
            </w: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kg.m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perscript"/>
                <w:lang w:eastAsia="sk-SK"/>
              </w:rPr>
              <w:t>-2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Stupeň požiarnej bezpečnosti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tab. 8)</w:t>
            </w:r>
          </w:p>
        </w:tc>
        <w:tc>
          <w:tcPr>
            <w:tcW w:w="18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II.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p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Požiarne zaťaženie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čl. 4.3.1)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38,39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kg.m</w:t>
            </w: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sk-SK"/>
              </w:rPr>
              <w:t>-2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a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Súčiniteľ horľavých látok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čl. 4.4.3)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1,03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b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Súčiniteľ odvetrania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čl. 4.5.1)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1,26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c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Účinnosť požiarnobezpečnostných opatrení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čl. 4.6)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S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skut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Skutočná pôdorysná plocha požiarneho úseku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761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šírka</w:t>
            </w:r>
          </w:p>
        </w:tc>
        <w:tc>
          <w:tcPr>
            <w:tcW w:w="715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Najväčšie dovolené rozmery požiarneho úseku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38,40</w:t>
            </w:r>
          </w:p>
        </w:tc>
        <w:tc>
          <w:tcPr>
            <w:tcW w:w="18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dĺžka</w:t>
            </w:r>
          </w:p>
        </w:tc>
        <w:tc>
          <w:tcPr>
            <w:tcW w:w="715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59,50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S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max</w:t>
            </w:r>
          </w:p>
        </w:tc>
        <w:tc>
          <w:tcPr>
            <w:tcW w:w="7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Dovolená pôdorysná plocha požiarneho úseku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2284,80</w:t>
            </w: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8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Posúdenie pôdorysných rozmerov požiarneho úseku</w:t>
            </w:r>
          </w:p>
        </w:tc>
        <w:tc>
          <w:tcPr>
            <w:tcW w:w="18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VYHOVUJE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n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pn</w:t>
            </w:r>
          </w:p>
        </w:tc>
        <w:tc>
          <w:tcPr>
            <w:tcW w:w="71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Skutočný počet podlaží požiarneho úseku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z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1</w:t>
            </w:r>
          </w:p>
        </w:tc>
        <w:tc>
          <w:tcPr>
            <w:tcW w:w="71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Najväčší dovolený počet požiarnych podlaží v požiarnom úseku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8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Posúdenie najväčšieho dovoleného počtu požiarnych podlaží</w:t>
            </w:r>
          </w:p>
        </w:tc>
        <w:tc>
          <w:tcPr>
            <w:tcW w:w="18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NEVYHOVUJE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h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p</w:t>
            </w:r>
          </w:p>
        </w:tc>
        <w:tc>
          <w:tcPr>
            <w:tcW w:w="71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Výška stavby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3,150</w:t>
            </w: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04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Vstupné hodnoty pre výpočet súčiniteľa odvetrania "b"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S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o</w:t>
            </w:r>
          </w:p>
        </w:tc>
        <w:tc>
          <w:tcPr>
            <w:tcW w:w="715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Celková plocha otvorov v obvodových konštrukciách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79,146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h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o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Priemerná výška otvorov v obvodových konštrukciách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2,03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h</w:t>
            </w: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vertAlign w:val="subscript"/>
                <w:lang w:eastAsia="sk-SK"/>
              </w:rPr>
              <w:t>s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Priemerná svetlá výška priestorov v požiarnom úseku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3,45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m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n</w:t>
            </w:r>
          </w:p>
        </w:tc>
        <w:tc>
          <w:tcPr>
            <w:tcW w:w="7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Pomerový súčiniteľ odvetrania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0,077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281C11">
        <w:trPr>
          <w:trHeight w:val="31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k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Súčiniteľ geometrie otvorov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(STN 73 0802/Z2/O3:05-2017, tab.</w:t>
            </w:r>
            <w:r w:rsidRPr="006B3E45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sk-SK"/>
              </w:rPr>
              <w:t xml:space="preserve"> </w:t>
            </w:r>
            <w:r w:rsidRPr="006B3E45">
              <w:rPr>
                <w:rFonts w:ascii="Calibri" w:eastAsia="Times New Roman" w:hAnsi="Calibri" w:cs="Times New Roman"/>
                <w:b/>
                <w:bCs/>
                <w:i/>
                <w:iCs/>
                <w:color w:val="0070C0"/>
                <w:sz w:val="20"/>
                <w:szCs w:val="20"/>
                <w:lang w:eastAsia="sk-SK"/>
              </w:rPr>
              <w:t>D.2</w:t>
            </w:r>
            <w:r w:rsidRPr="006B3E4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0,187</w:t>
            </w: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6B3E4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(-)</w:t>
            </w:r>
          </w:p>
        </w:tc>
      </w:tr>
      <w:tr w:rsidR="006B3E45" w:rsidRPr="006B3E45" w:rsidTr="00281C11">
        <w:trPr>
          <w:trHeight w:val="300"/>
          <w:jc w:val="center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E45" w:rsidRPr="006B3E45" w:rsidRDefault="006B3E45" w:rsidP="006B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6B3E45" w:rsidRDefault="006B3E45" w:rsidP="00275877">
      <w:pPr>
        <w:spacing w:after="0" w:line="240" w:lineRule="auto"/>
        <w:rPr>
          <w:b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6B3E45" w:rsidRDefault="006B3E45" w:rsidP="001C121C">
      <w:pPr>
        <w:spacing w:after="0" w:line="240" w:lineRule="auto"/>
        <w:rPr>
          <w:bCs/>
          <w:sz w:val="20"/>
          <w:szCs w:val="20"/>
        </w:rPr>
        <w:sectPr w:rsidR="006B3E45" w:rsidSect="006B3E45">
          <w:pgSz w:w="11906" w:h="16838" w:code="9"/>
          <w:pgMar w:top="1134" w:right="1134" w:bottom="1134" w:left="1134" w:header="851" w:footer="851" w:gutter="0"/>
          <w:cols w:space="708"/>
          <w:docGrid w:linePitch="360"/>
        </w:sectPr>
      </w:pPr>
    </w:p>
    <w:p w:rsidR="00717D8E" w:rsidRDefault="00281C11" w:rsidP="001C121C">
      <w:pPr>
        <w:spacing w:after="0" w:line="240" w:lineRule="auto"/>
        <w:rPr>
          <w:bCs/>
          <w:sz w:val="20"/>
          <w:szCs w:val="20"/>
        </w:rPr>
      </w:pPr>
      <w:r w:rsidRPr="00281C11">
        <w:rPr>
          <w:noProof/>
          <w:lang w:eastAsia="sk-SK"/>
        </w:rPr>
        <w:lastRenderedPageBreak/>
        <w:drawing>
          <wp:inline distT="0" distB="0" distL="0" distR="0">
            <wp:extent cx="10331450" cy="5177281"/>
            <wp:effectExtent l="0" t="0" r="0" b="4445"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17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717D8E" w:rsidRDefault="00717D8E" w:rsidP="001C121C">
      <w:pPr>
        <w:spacing w:after="0" w:line="240" w:lineRule="auto"/>
        <w:rPr>
          <w:bCs/>
          <w:sz w:val="20"/>
          <w:szCs w:val="20"/>
        </w:rPr>
      </w:pPr>
    </w:p>
    <w:p w:rsidR="006B3E45" w:rsidRDefault="006B3E45" w:rsidP="001C121C">
      <w:pPr>
        <w:spacing w:after="0" w:line="240" w:lineRule="auto"/>
        <w:rPr>
          <w:bCs/>
          <w:sz w:val="20"/>
          <w:szCs w:val="20"/>
        </w:rPr>
      </w:pPr>
    </w:p>
    <w:p w:rsidR="006B3E45" w:rsidRDefault="006B3E45" w:rsidP="001C121C">
      <w:pPr>
        <w:spacing w:after="0" w:line="240" w:lineRule="auto"/>
        <w:rPr>
          <w:bCs/>
          <w:sz w:val="20"/>
          <w:szCs w:val="20"/>
        </w:rPr>
      </w:pPr>
    </w:p>
    <w:p w:rsidR="006B3E45" w:rsidRDefault="006B3E45" w:rsidP="001C121C">
      <w:pPr>
        <w:spacing w:after="0" w:line="240" w:lineRule="auto"/>
        <w:rPr>
          <w:bCs/>
          <w:sz w:val="20"/>
          <w:szCs w:val="20"/>
        </w:rPr>
      </w:pPr>
    </w:p>
    <w:p w:rsidR="006B3E45" w:rsidRDefault="00281C11" w:rsidP="001C121C">
      <w:pPr>
        <w:spacing w:after="0" w:line="240" w:lineRule="auto"/>
        <w:rPr>
          <w:bCs/>
          <w:sz w:val="20"/>
          <w:szCs w:val="20"/>
        </w:rPr>
      </w:pPr>
      <w:r w:rsidRPr="00281C11">
        <w:rPr>
          <w:noProof/>
          <w:lang w:eastAsia="sk-SK"/>
        </w:rPr>
        <w:lastRenderedPageBreak/>
        <w:drawing>
          <wp:inline distT="0" distB="0" distL="0" distR="0">
            <wp:extent cx="10331450" cy="3644128"/>
            <wp:effectExtent l="0" t="0" r="0" b="0"/>
            <wp:docPr id="5" name="Obrázo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3644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3E45" w:rsidSect="006B3E45">
      <w:pgSz w:w="16838" w:h="11906" w:orient="landscape" w:code="9"/>
      <w:pgMar w:top="284" w:right="284" w:bottom="284" w:left="28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62D" w:rsidRDefault="00EE362D" w:rsidP="00732BA2">
      <w:pPr>
        <w:spacing w:after="0" w:line="240" w:lineRule="auto"/>
      </w:pPr>
      <w:r>
        <w:separator/>
      </w:r>
    </w:p>
  </w:endnote>
  <w:endnote w:type="continuationSeparator" w:id="0">
    <w:p w:rsidR="00EE362D" w:rsidRDefault="00EE362D" w:rsidP="0073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62D" w:rsidRDefault="00EE362D" w:rsidP="00732BA2">
      <w:pPr>
        <w:spacing w:after="0" w:line="240" w:lineRule="auto"/>
      </w:pPr>
      <w:r>
        <w:separator/>
      </w:r>
    </w:p>
  </w:footnote>
  <w:footnote w:type="continuationSeparator" w:id="0">
    <w:p w:rsidR="00EE362D" w:rsidRDefault="00EE362D" w:rsidP="00732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E45" w:rsidRPr="008560A9" w:rsidRDefault="006B3E45" w:rsidP="008560A9">
    <w:pPr>
      <w:pStyle w:val="Hlavika"/>
      <w:rPr>
        <w:sz w:val="20"/>
        <w:szCs w:val="20"/>
      </w:rPr>
    </w:pPr>
    <w:r>
      <w:rPr>
        <w:sz w:val="20"/>
        <w:szCs w:val="20"/>
      </w:rPr>
      <w:t>Obnova kultúrneho domu s knižnicou</w:t>
    </w:r>
    <w:r w:rsidRPr="008560A9">
      <w:rPr>
        <w:sz w:val="20"/>
        <w:szCs w:val="20"/>
      </w:rPr>
      <w:tab/>
    </w:r>
    <w:r w:rsidRPr="008560A9">
      <w:rPr>
        <w:sz w:val="20"/>
        <w:szCs w:val="20"/>
      </w:rPr>
      <w:tab/>
      <w:t xml:space="preserve">         </w:t>
    </w:r>
    <w:sdt>
      <w:sdtPr>
        <w:rPr>
          <w:sz w:val="20"/>
          <w:szCs w:val="20"/>
        </w:rPr>
        <w:id w:val="1263257025"/>
        <w:docPartObj>
          <w:docPartGallery w:val="Page Numbers (Top of Page)"/>
          <w:docPartUnique/>
        </w:docPartObj>
      </w:sdtPr>
      <w:sdtEndPr/>
      <w:sdtContent>
        <w:r w:rsidRPr="008560A9">
          <w:rPr>
            <w:sz w:val="20"/>
            <w:szCs w:val="20"/>
          </w:rPr>
          <w:fldChar w:fldCharType="begin"/>
        </w:r>
        <w:r w:rsidRPr="008560A9">
          <w:rPr>
            <w:sz w:val="20"/>
            <w:szCs w:val="20"/>
          </w:rPr>
          <w:instrText>PAGE   \* MERGEFORMAT</w:instrText>
        </w:r>
        <w:r w:rsidRPr="008560A9">
          <w:rPr>
            <w:sz w:val="20"/>
            <w:szCs w:val="20"/>
          </w:rPr>
          <w:fldChar w:fldCharType="separate"/>
        </w:r>
        <w:r w:rsidR="003B172B">
          <w:rPr>
            <w:noProof/>
            <w:sz w:val="20"/>
            <w:szCs w:val="20"/>
          </w:rPr>
          <w:t>1</w:t>
        </w:r>
        <w:r w:rsidRPr="008560A9">
          <w:rPr>
            <w:sz w:val="20"/>
            <w:szCs w:val="20"/>
          </w:rPr>
          <w:fldChar w:fldCharType="end"/>
        </w:r>
      </w:sdtContent>
    </w:sdt>
  </w:p>
  <w:p w:rsidR="006B3E45" w:rsidRDefault="006B3E4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E45" w:rsidRPr="008560A9" w:rsidRDefault="006B3E45" w:rsidP="008560A9">
    <w:pPr>
      <w:pStyle w:val="Hlavika"/>
      <w:rPr>
        <w:sz w:val="20"/>
        <w:szCs w:val="20"/>
      </w:rPr>
    </w:pPr>
    <w:r w:rsidRPr="008560A9">
      <w:rPr>
        <w:sz w:val="20"/>
        <w:szCs w:val="20"/>
      </w:rPr>
      <w:tab/>
    </w:r>
    <w:r w:rsidRPr="008560A9">
      <w:rPr>
        <w:sz w:val="20"/>
        <w:szCs w:val="20"/>
      </w:rPr>
      <w:tab/>
    </w:r>
  </w:p>
  <w:p w:rsidR="006B3E45" w:rsidRDefault="006B3E4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6DE2"/>
    <w:multiLevelType w:val="hybridMultilevel"/>
    <w:tmpl w:val="1922ABDE"/>
    <w:lvl w:ilvl="0" w:tplc="2F9CD0C2">
      <w:start w:val="1"/>
      <w:numFmt w:val="decimalZero"/>
      <w:lvlText w:val="%1."/>
      <w:lvlJc w:val="left"/>
      <w:pPr>
        <w:ind w:left="1710" w:hanging="63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EA57666"/>
    <w:multiLevelType w:val="hybridMultilevel"/>
    <w:tmpl w:val="CC8E0200"/>
    <w:lvl w:ilvl="0" w:tplc="ADAA0854">
      <w:start w:val="1"/>
      <w:numFmt w:val="decimalZero"/>
      <w:lvlText w:val="%1."/>
      <w:lvlJc w:val="left"/>
      <w:pPr>
        <w:ind w:left="1710" w:hanging="63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7705AD7"/>
    <w:multiLevelType w:val="hybridMultilevel"/>
    <w:tmpl w:val="5F96950A"/>
    <w:lvl w:ilvl="0" w:tplc="7438085E">
      <w:start w:val="1"/>
      <w:numFmt w:val="decimalZero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3A7C3A"/>
    <w:multiLevelType w:val="hybridMultilevel"/>
    <w:tmpl w:val="D428AC1A"/>
    <w:lvl w:ilvl="0" w:tplc="2932E0E2">
      <w:start w:val="2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1BA"/>
    <w:rsid w:val="00011BA4"/>
    <w:rsid w:val="000150FF"/>
    <w:rsid w:val="000151B8"/>
    <w:rsid w:val="00041DB0"/>
    <w:rsid w:val="000518F0"/>
    <w:rsid w:val="00054E54"/>
    <w:rsid w:val="00055389"/>
    <w:rsid w:val="00061A64"/>
    <w:rsid w:val="000671E7"/>
    <w:rsid w:val="00067DDF"/>
    <w:rsid w:val="000714CA"/>
    <w:rsid w:val="000827C2"/>
    <w:rsid w:val="00090F98"/>
    <w:rsid w:val="000925BB"/>
    <w:rsid w:val="00094013"/>
    <w:rsid w:val="000A04A2"/>
    <w:rsid w:val="000A2657"/>
    <w:rsid w:val="000A2DBE"/>
    <w:rsid w:val="000B5AB2"/>
    <w:rsid w:val="000C7A4F"/>
    <w:rsid w:val="000D683E"/>
    <w:rsid w:val="000E6565"/>
    <w:rsid w:val="000F0527"/>
    <w:rsid w:val="000F08DC"/>
    <w:rsid w:val="001020E8"/>
    <w:rsid w:val="00102FC1"/>
    <w:rsid w:val="00103552"/>
    <w:rsid w:val="001054EE"/>
    <w:rsid w:val="00105B88"/>
    <w:rsid w:val="00114DCF"/>
    <w:rsid w:val="001164DD"/>
    <w:rsid w:val="00120C23"/>
    <w:rsid w:val="001243B8"/>
    <w:rsid w:val="0012591B"/>
    <w:rsid w:val="00127704"/>
    <w:rsid w:val="00130AF3"/>
    <w:rsid w:val="00140DD6"/>
    <w:rsid w:val="0014798F"/>
    <w:rsid w:val="001530D1"/>
    <w:rsid w:val="001552F0"/>
    <w:rsid w:val="00155365"/>
    <w:rsid w:val="00156F51"/>
    <w:rsid w:val="00163ABB"/>
    <w:rsid w:val="00170559"/>
    <w:rsid w:val="00175437"/>
    <w:rsid w:val="0018082B"/>
    <w:rsid w:val="0018408B"/>
    <w:rsid w:val="00186E37"/>
    <w:rsid w:val="001A5DC7"/>
    <w:rsid w:val="001B73F0"/>
    <w:rsid w:val="001C121C"/>
    <w:rsid w:val="001C358B"/>
    <w:rsid w:val="001C5FA8"/>
    <w:rsid w:val="001E0FEB"/>
    <w:rsid w:val="0020325F"/>
    <w:rsid w:val="00211232"/>
    <w:rsid w:val="00217DB4"/>
    <w:rsid w:val="00224C60"/>
    <w:rsid w:val="00226446"/>
    <w:rsid w:val="00236B3C"/>
    <w:rsid w:val="00242C41"/>
    <w:rsid w:val="00256200"/>
    <w:rsid w:val="002579E1"/>
    <w:rsid w:val="002611CC"/>
    <w:rsid w:val="0026187A"/>
    <w:rsid w:val="002622C5"/>
    <w:rsid w:val="002731A2"/>
    <w:rsid w:val="00275877"/>
    <w:rsid w:val="00281C11"/>
    <w:rsid w:val="00283AC0"/>
    <w:rsid w:val="002930A8"/>
    <w:rsid w:val="00293C5B"/>
    <w:rsid w:val="002A451C"/>
    <w:rsid w:val="002B018C"/>
    <w:rsid w:val="002B308E"/>
    <w:rsid w:val="002B5755"/>
    <w:rsid w:val="002C248B"/>
    <w:rsid w:val="002C78A3"/>
    <w:rsid w:val="002D0AA5"/>
    <w:rsid w:val="00300612"/>
    <w:rsid w:val="003017F1"/>
    <w:rsid w:val="00305A10"/>
    <w:rsid w:val="00317053"/>
    <w:rsid w:val="003239F5"/>
    <w:rsid w:val="00337A8A"/>
    <w:rsid w:val="00355661"/>
    <w:rsid w:val="00356854"/>
    <w:rsid w:val="003620DB"/>
    <w:rsid w:val="00371A18"/>
    <w:rsid w:val="00374E99"/>
    <w:rsid w:val="00387F4A"/>
    <w:rsid w:val="0039071D"/>
    <w:rsid w:val="00393672"/>
    <w:rsid w:val="00395471"/>
    <w:rsid w:val="003A562F"/>
    <w:rsid w:val="003A788D"/>
    <w:rsid w:val="003B119E"/>
    <w:rsid w:val="003B172B"/>
    <w:rsid w:val="003B2606"/>
    <w:rsid w:val="003B2B22"/>
    <w:rsid w:val="003B519D"/>
    <w:rsid w:val="003B78E9"/>
    <w:rsid w:val="003C33BC"/>
    <w:rsid w:val="003C4C4E"/>
    <w:rsid w:val="003C6E4D"/>
    <w:rsid w:val="003D10C7"/>
    <w:rsid w:val="003D365E"/>
    <w:rsid w:val="003D40E8"/>
    <w:rsid w:val="003E60F5"/>
    <w:rsid w:val="003E7BB9"/>
    <w:rsid w:val="003F3A21"/>
    <w:rsid w:val="003F5D33"/>
    <w:rsid w:val="003F7DB0"/>
    <w:rsid w:val="004019AF"/>
    <w:rsid w:val="00402041"/>
    <w:rsid w:val="00403CB3"/>
    <w:rsid w:val="004055F1"/>
    <w:rsid w:val="00405C9C"/>
    <w:rsid w:val="0042151A"/>
    <w:rsid w:val="004238B5"/>
    <w:rsid w:val="0042647E"/>
    <w:rsid w:val="00430746"/>
    <w:rsid w:val="00433830"/>
    <w:rsid w:val="00452EDC"/>
    <w:rsid w:val="0046128A"/>
    <w:rsid w:val="00463A3D"/>
    <w:rsid w:val="004648B5"/>
    <w:rsid w:val="00470D00"/>
    <w:rsid w:val="004734F4"/>
    <w:rsid w:val="00473B15"/>
    <w:rsid w:val="004833E4"/>
    <w:rsid w:val="004979AF"/>
    <w:rsid w:val="004A1192"/>
    <w:rsid w:val="004A1D08"/>
    <w:rsid w:val="004A5D45"/>
    <w:rsid w:val="004B36FB"/>
    <w:rsid w:val="004B3AD1"/>
    <w:rsid w:val="004C2212"/>
    <w:rsid w:val="004D3386"/>
    <w:rsid w:val="004D71E2"/>
    <w:rsid w:val="004D7B1A"/>
    <w:rsid w:val="004E0768"/>
    <w:rsid w:val="004E3520"/>
    <w:rsid w:val="004E74A0"/>
    <w:rsid w:val="005027F0"/>
    <w:rsid w:val="00505598"/>
    <w:rsid w:val="00514D87"/>
    <w:rsid w:val="00530DE3"/>
    <w:rsid w:val="00537346"/>
    <w:rsid w:val="005432CA"/>
    <w:rsid w:val="0054665E"/>
    <w:rsid w:val="00551D99"/>
    <w:rsid w:val="005554EC"/>
    <w:rsid w:val="005560D6"/>
    <w:rsid w:val="00556F74"/>
    <w:rsid w:val="00566869"/>
    <w:rsid w:val="00571471"/>
    <w:rsid w:val="005718FE"/>
    <w:rsid w:val="00573D5D"/>
    <w:rsid w:val="0057595B"/>
    <w:rsid w:val="0058275D"/>
    <w:rsid w:val="00584234"/>
    <w:rsid w:val="005852D1"/>
    <w:rsid w:val="00590C29"/>
    <w:rsid w:val="005A50D3"/>
    <w:rsid w:val="005A717A"/>
    <w:rsid w:val="005B2EE3"/>
    <w:rsid w:val="005B6869"/>
    <w:rsid w:val="005C2EAC"/>
    <w:rsid w:val="005C4760"/>
    <w:rsid w:val="005C57C3"/>
    <w:rsid w:val="005D087C"/>
    <w:rsid w:val="005D1FBD"/>
    <w:rsid w:val="005E0A5D"/>
    <w:rsid w:val="005E115B"/>
    <w:rsid w:val="005E6750"/>
    <w:rsid w:val="005F6A7A"/>
    <w:rsid w:val="005F77E9"/>
    <w:rsid w:val="00602520"/>
    <w:rsid w:val="006065E9"/>
    <w:rsid w:val="006076BD"/>
    <w:rsid w:val="00616560"/>
    <w:rsid w:val="006553F4"/>
    <w:rsid w:val="0066435D"/>
    <w:rsid w:val="00664BDE"/>
    <w:rsid w:val="006711B0"/>
    <w:rsid w:val="00671E8E"/>
    <w:rsid w:val="00672C10"/>
    <w:rsid w:val="00676889"/>
    <w:rsid w:val="00677ADD"/>
    <w:rsid w:val="0068144E"/>
    <w:rsid w:val="00683111"/>
    <w:rsid w:val="006839E2"/>
    <w:rsid w:val="006873A9"/>
    <w:rsid w:val="006A521B"/>
    <w:rsid w:val="006B3939"/>
    <w:rsid w:val="006B3E45"/>
    <w:rsid w:val="006C6DE2"/>
    <w:rsid w:val="006D149E"/>
    <w:rsid w:val="006D537A"/>
    <w:rsid w:val="006D6380"/>
    <w:rsid w:val="006E0D42"/>
    <w:rsid w:val="006E1B8D"/>
    <w:rsid w:val="006F293D"/>
    <w:rsid w:val="007001E5"/>
    <w:rsid w:val="00704D82"/>
    <w:rsid w:val="007155F4"/>
    <w:rsid w:val="00715FA6"/>
    <w:rsid w:val="00717D8E"/>
    <w:rsid w:val="00725D34"/>
    <w:rsid w:val="00732BA2"/>
    <w:rsid w:val="00740456"/>
    <w:rsid w:val="00760353"/>
    <w:rsid w:val="00760BA3"/>
    <w:rsid w:val="007705B4"/>
    <w:rsid w:val="00775BE9"/>
    <w:rsid w:val="00785FD5"/>
    <w:rsid w:val="0079043C"/>
    <w:rsid w:val="0079288C"/>
    <w:rsid w:val="007A005C"/>
    <w:rsid w:val="007A34AE"/>
    <w:rsid w:val="007B3EB9"/>
    <w:rsid w:val="007B4642"/>
    <w:rsid w:val="007C0E76"/>
    <w:rsid w:val="007C3D3B"/>
    <w:rsid w:val="007C57B6"/>
    <w:rsid w:val="007D15BE"/>
    <w:rsid w:val="007D7EBD"/>
    <w:rsid w:val="007E2E07"/>
    <w:rsid w:val="007E38F9"/>
    <w:rsid w:val="007E7165"/>
    <w:rsid w:val="008065E2"/>
    <w:rsid w:val="008127E6"/>
    <w:rsid w:val="00814500"/>
    <w:rsid w:val="00816CBE"/>
    <w:rsid w:val="00824D9B"/>
    <w:rsid w:val="00825253"/>
    <w:rsid w:val="008304FC"/>
    <w:rsid w:val="00833445"/>
    <w:rsid w:val="00834FF5"/>
    <w:rsid w:val="00836D30"/>
    <w:rsid w:val="00844C8E"/>
    <w:rsid w:val="00853915"/>
    <w:rsid w:val="0085396D"/>
    <w:rsid w:val="008560A9"/>
    <w:rsid w:val="008570D8"/>
    <w:rsid w:val="00870E33"/>
    <w:rsid w:val="00872022"/>
    <w:rsid w:val="0087386F"/>
    <w:rsid w:val="00875C81"/>
    <w:rsid w:val="00891319"/>
    <w:rsid w:val="008A3FD8"/>
    <w:rsid w:val="008B1E36"/>
    <w:rsid w:val="008B50C3"/>
    <w:rsid w:val="008B5D36"/>
    <w:rsid w:val="008B6E63"/>
    <w:rsid w:val="008C6D39"/>
    <w:rsid w:val="008D14D4"/>
    <w:rsid w:val="008D2A17"/>
    <w:rsid w:val="008E14B2"/>
    <w:rsid w:val="008F4208"/>
    <w:rsid w:val="008F6DB5"/>
    <w:rsid w:val="00900C8B"/>
    <w:rsid w:val="00902FF1"/>
    <w:rsid w:val="0090540D"/>
    <w:rsid w:val="00911D73"/>
    <w:rsid w:val="00912294"/>
    <w:rsid w:val="00930D10"/>
    <w:rsid w:val="00934EE3"/>
    <w:rsid w:val="0096349C"/>
    <w:rsid w:val="00963A95"/>
    <w:rsid w:val="0096610E"/>
    <w:rsid w:val="0096660E"/>
    <w:rsid w:val="00971FB5"/>
    <w:rsid w:val="009743F6"/>
    <w:rsid w:val="00975B3C"/>
    <w:rsid w:val="00975D55"/>
    <w:rsid w:val="0098261A"/>
    <w:rsid w:val="00984FA1"/>
    <w:rsid w:val="00990E08"/>
    <w:rsid w:val="00991106"/>
    <w:rsid w:val="009957DC"/>
    <w:rsid w:val="00997C7F"/>
    <w:rsid w:val="00997EED"/>
    <w:rsid w:val="009A0DAD"/>
    <w:rsid w:val="009A4C0A"/>
    <w:rsid w:val="009A683C"/>
    <w:rsid w:val="009B06A9"/>
    <w:rsid w:val="009C17C3"/>
    <w:rsid w:val="009D302E"/>
    <w:rsid w:val="009D7833"/>
    <w:rsid w:val="009E7573"/>
    <w:rsid w:val="00A01B5F"/>
    <w:rsid w:val="00A02271"/>
    <w:rsid w:val="00A04CE2"/>
    <w:rsid w:val="00A0556A"/>
    <w:rsid w:val="00A07CBB"/>
    <w:rsid w:val="00A107D3"/>
    <w:rsid w:val="00A10C53"/>
    <w:rsid w:val="00A160D9"/>
    <w:rsid w:val="00A16C2A"/>
    <w:rsid w:val="00A2282B"/>
    <w:rsid w:val="00A25DD9"/>
    <w:rsid w:val="00A37396"/>
    <w:rsid w:val="00A428FF"/>
    <w:rsid w:val="00A45947"/>
    <w:rsid w:val="00A5006D"/>
    <w:rsid w:val="00A55F60"/>
    <w:rsid w:val="00A56B2E"/>
    <w:rsid w:val="00A63B69"/>
    <w:rsid w:val="00A75697"/>
    <w:rsid w:val="00A8106F"/>
    <w:rsid w:val="00A81CE2"/>
    <w:rsid w:val="00A96004"/>
    <w:rsid w:val="00AB1EBF"/>
    <w:rsid w:val="00AB1ED8"/>
    <w:rsid w:val="00AB5BBD"/>
    <w:rsid w:val="00AB5BCA"/>
    <w:rsid w:val="00AC65AD"/>
    <w:rsid w:val="00AD1E03"/>
    <w:rsid w:val="00AD3E62"/>
    <w:rsid w:val="00AF53B1"/>
    <w:rsid w:val="00B003ED"/>
    <w:rsid w:val="00B036F7"/>
    <w:rsid w:val="00B04405"/>
    <w:rsid w:val="00B1376B"/>
    <w:rsid w:val="00B1517D"/>
    <w:rsid w:val="00B21BDF"/>
    <w:rsid w:val="00B22042"/>
    <w:rsid w:val="00B355E6"/>
    <w:rsid w:val="00B3622A"/>
    <w:rsid w:val="00B42624"/>
    <w:rsid w:val="00B50965"/>
    <w:rsid w:val="00B54EDD"/>
    <w:rsid w:val="00B617F3"/>
    <w:rsid w:val="00B61B9C"/>
    <w:rsid w:val="00B63499"/>
    <w:rsid w:val="00B721F0"/>
    <w:rsid w:val="00B7220B"/>
    <w:rsid w:val="00B73645"/>
    <w:rsid w:val="00B754BE"/>
    <w:rsid w:val="00B772F6"/>
    <w:rsid w:val="00B931CD"/>
    <w:rsid w:val="00BB0443"/>
    <w:rsid w:val="00BC1308"/>
    <w:rsid w:val="00BD3C42"/>
    <w:rsid w:val="00BD69BB"/>
    <w:rsid w:val="00C228E2"/>
    <w:rsid w:val="00C22C1D"/>
    <w:rsid w:val="00C243C6"/>
    <w:rsid w:val="00C2572D"/>
    <w:rsid w:val="00C25B64"/>
    <w:rsid w:val="00C26BE4"/>
    <w:rsid w:val="00C30044"/>
    <w:rsid w:val="00C300C7"/>
    <w:rsid w:val="00C41131"/>
    <w:rsid w:val="00C41775"/>
    <w:rsid w:val="00C421BA"/>
    <w:rsid w:val="00C45A1F"/>
    <w:rsid w:val="00C525EB"/>
    <w:rsid w:val="00C70894"/>
    <w:rsid w:val="00C92229"/>
    <w:rsid w:val="00C97ED8"/>
    <w:rsid w:val="00CA0EB4"/>
    <w:rsid w:val="00CB1313"/>
    <w:rsid w:val="00CC0C8F"/>
    <w:rsid w:val="00CC227F"/>
    <w:rsid w:val="00CC3FF4"/>
    <w:rsid w:val="00CC5901"/>
    <w:rsid w:val="00CC75B3"/>
    <w:rsid w:val="00CE056D"/>
    <w:rsid w:val="00CE4C7B"/>
    <w:rsid w:val="00D0430C"/>
    <w:rsid w:val="00D050E2"/>
    <w:rsid w:val="00D06C90"/>
    <w:rsid w:val="00D06D0A"/>
    <w:rsid w:val="00D1083A"/>
    <w:rsid w:val="00D11400"/>
    <w:rsid w:val="00D151E9"/>
    <w:rsid w:val="00D16F50"/>
    <w:rsid w:val="00D255BF"/>
    <w:rsid w:val="00D301A6"/>
    <w:rsid w:val="00D31D6F"/>
    <w:rsid w:val="00D36129"/>
    <w:rsid w:val="00D40803"/>
    <w:rsid w:val="00D47F5F"/>
    <w:rsid w:val="00D52EE9"/>
    <w:rsid w:val="00D5436C"/>
    <w:rsid w:val="00D62BFE"/>
    <w:rsid w:val="00D67165"/>
    <w:rsid w:val="00D70E30"/>
    <w:rsid w:val="00D741DB"/>
    <w:rsid w:val="00D76DC3"/>
    <w:rsid w:val="00D807A5"/>
    <w:rsid w:val="00D82886"/>
    <w:rsid w:val="00D8762C"/>
    <w:rsid w:val="00D95025"/>
    <w:rsid w:val="00D9706E"/>
    <w:rsid w:val="00DA263A"/>
    <w:rsid w:val="00DA745F"/>
    <w:rsid w:val="00DB2DFA"/>
    <w:rsid w:val="00DB5A48"/>
    <w:rsid w:val="00DC3BA4"/>
    <w:rsid w:val="00DC6D1E"/>
    <w:rsid w:val="00DD10B8"/>
    <w:rsid w:val="00DD1785"/>
    <w:rsid w:val="00DD3C0C"/>
    <w:rsid w:val="00DD5035"/>
    <w:rsid w:val="00DF3714"/>
    <w:rsid w:val="00DF474E"/>
    <w:rsid w:val="00DF476D"/>
    <w:rsid w:val="00DF71FC"/>
    <w:rsid w:val="00E0123C"/>
    <w:rsid w:val="00E0260F"/>
    <w:rsid w:val="00E0447C"/>
    <w:rsid w:val="00E0714F"/>
    <w:rsid w:val="00E126D4"/>
    <w:rsid w:val="00E34220"/>
    <w:rsid w:val="00E4217D"/>
    <w:rsid w:val="00E5443B"/>
    <w:rsid w:val="00E57DE6"/>
    <w:rsid w:val="00E62D27"/>
    <w:rsid w:val="00E650CB"/>
    <w:rsid w:val="00E73406"/>
    <w:rsid w:val="00E735E1"/>
    <w:rsid w:val="00E75D51"/>
    <w:rsid w:val="00E825DC"/>
    <w:rsid w:val="00E87BBF"/>
    <w:rsid w:val="00EA0D5E"/>
    <w:rsid w:val="00EB399A"/>
    <w:rsid w:val="00EB4A74"/>
    <w:rsid w:val="00EB7DB4"/>
    <w:rsid w:val="00EC0A8E"/>
    <w:rsid w:val="00EC1C33"/>
    <w:rsid w:val="00EC5385"/>
    <w:rsid w:val="00EC7584"/>
    <w:rsid w:val="00EE362D"/>
    <w:rsid w:val="00EE377F"/>
    <w:rsid w:val="00EE44BC"/>
    <w:rsid w:val="00EE4822"/>
    <w:rsid w:val="00EE5309"/>
    <w:rsid w:val="00EE78F2"/>
    <w:rsid w:val="00EF2925"/>
    <w:rsid w:val="00EF311F"/>
    <w:rsid w:val="00EF68FE"/>
    <w:rsid w:val="00F00DA9"/>
    <w:rsid w:val="00F0484A"/>
    <w:rsid w:val="00F06865"/>
    <w:rsid w:val="00F07D8D"/>
    <w:rsid w:val="00F2180D"/>
    <w:rsid w:val="00F37542"/>
    <w:rsid w:val="00F43C76"/>
    <w:rsid w:val="00F43DCB"/>
    <w:rsid w:val="00F46945"/>
    <w:rsid w:val="00F6372D"/>
    <w:rsid w:val="00F65C81"/>
    <w:rsid w:val="00F80C27"/>
    <w:rsid w:val="00F823C9"/>
    <w:rsid w:val="00F82834"/>
    <w:rsid w:val="00F82E92"/>
    <w:rsid w:val="00F83C17"/>
    <w:rsid w:val="00F87F78"/>
    <w:rsid w:val="00F9189D"/>
    <w:rsid w:val="00F97004"/>
    <w:rsid w:val="00FA7D9F"/>
    <w:rsid w:val="00FB1516"/>
    <w:rsid w:val="00FB3BB0"/>
    <w:rsid w:val="00FB4DB0"/>
    <w:rsid w:val="00FB5DCA"/>
    <w:rsid w:val="00FB7489"/>
    <w:rsid w:val="00FC3BD5"/>
    <w:rsid w:val="00FD09AC"/>
    <w:rsid w:val="00FD630B"/>
    <w:rsid w:val="00FE6F38"/>
    <w:rsid w:val="00FF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718568-D064-4E74-AA0E-2E2BAB2B5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52EE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C42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E1B8D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991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106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D67165"/>
    <w:rPr>
      <w:color w:val="808080"/>
    </w:rPr>
  </w:style>
  <w:style w:type="paragraph" w:styleId="Normlnywebov">
    <w:name w:val="Normal (Web)"/>
    <w:basedOn w:val="Normlny"/>
    <w:uiPriority w:val="99"/>
    <w:semiHidden/>
    <w:unhideWhenUsed/>
    <w:rsid w:val="008F42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6839E2"/>
    <w:rPr>
      <w:color w:val="0000FF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732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32BA2"/>
  </w:style>
  <w:style w:type="paragraph" w:styleId="Pta">
    <w:name w:val="footer"/>
    <w:basedOn w:val="Normlny"/>
    <w:link w:val="PtaChar"/>
    <w:uiPriority w:val="99"/>
    <w:unhideWhenUsed/>
    <w:rsid w:val="00732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3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10A9C-A60A-48F0-8257-8E2EEE9E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2337</Words>
  <Characters>13323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Brija</cp:lastModifiedBy>
  <cp:revision>2</cp:revision>
  <cp:lastPrinted>2020-10-23T05:49:00Z</cp:lastPrinted>
  <dcterms:created xsi:type="dcterms:W3CDTF">2021-04-07T06:57:00Z</dcterms:created>
  <dcterms:modified xsi:type="dcterms:W3CDTF">2021-04-07T06:57:00Z</dcterms:modified>
</cp:coreProperties>
</file>