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79DC" w14:textId="49733CDF" w:rsidR="0060688A" w:rsidRPr="00FD7327" w:rsidRDefault="0060688A" w:rsidP="0060688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Zväzok 3 Opis predmetu zákazky</w:t>
      </w:r>
    </w:p>
    <w:p w14:paraId="0DC5C93D" w14:textId="77777777" w:rsidR="0060688A" w:rsidRPr="00FD7327" w:rsidRDefault="0060688A" w:rsidP="0060688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Príloha č. </w:t>
      </w:r>
      <w:r w:rsidR="00D10B7B"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2</w:t>
      </w: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 </w:t>
      </w:r>
    </w:p>
    <w:p w14:paraId="77C5D43E" w14:textId="77777777" w:rsidR="0060688A" w:rsidRPr="00FD7327" w:rsidRDefault="0060688A" w:rsidP="007222FA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  <w:lang w:val="sk-SK"/>
        </w:rPr>
      </w:pPr>
    </w:p>
    <w:p w14:paraId="7B6C395E" w14:textId="77777777" w:rsidR="00BB4A52" w:rsidRPr="00FD7327" w:rsidRDefault="00BB4A52" w:rsidP="0060688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bookmarkStart w:id="0" w:name="_Hlk74743858"/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Činnosti, ktoré bude realizovať/zabezpečovať zhotoviteľ: </w:t>
      </w:r>
    </w:p>
    <w:p w14:paraId="01E1CC41" w14:textId="77777777" w:rsidR="00BB4A52" w:rsidRPr="00FD7327" w:rsidRDefault="00BB4A52" w:rsidP="00BB4A52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bookmarkStart w:id="1" w:name="_Hlk79736301"/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Vybavenie rozhodnutí týkajúcich sa zvláštneho užívania komunikácií a pod., vrátane zabezpečenia dočasného dopravného značenia)</w:t>
      </w:r>
    </w:p>
    <w:p w14:paraId="4E658BE4" w14:textId="77777777" w:rsidR="00BB4A52" w:rsidRPr="00FD7327" w:rsidRDefault="00BB4A52" w:rsidP="00BB4A52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Vybavenia rozhodnutia o zábere verejného priestranstva pre účely výstavby.</w:t>
      </w:r>
    </w:p>
    <w:p w14:paraId="28B47F1A" w14:textId="77777777" w:rsidR="00BB4A52" w:rsidRPr="00FD7327" w:rsidRDefault="00BB4A52" w:rsidP="00BB4A52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Vytýčenie sietí technického vybavenia územia</w:t>
      </w:r>
      <w:r w:rsidR="00867922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pred realizáciou stavby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.</w:t>
      </w:r>
    </w:p>
    <w:bookmarkEnd w:id="1"/>
    <w:p w14:paraId="2F7CC7B0" w14:textId="77777777" w:rsidR="00BB4A52" w:rsidRPr="00FD7327" w:rsidRDefault="00BB4A52" w:rsidP="0060688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</w:p>
    <w:p w14:paraId="61056A1A" w14:textId="77777777" w:rsidR="00B42A8F" w:rsidRPr="00FD7327" w:rsidRDefault="00B42A8F" w:rsidP="0060688A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Dokumenty ku odovzdaniu stavby</w:t>
      </w:r>
      <w:bookmarkEnd w:id="0"/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: </w:t>
      </w:r>
    </w:p>
    <w:p w14:paraId="27C44602" w14:textId="10C6BE0D" w:rsidR="00B42A8F" w:rsidRPr="00FD7327" w:rsidRDefault="00B42A8F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Certifikáty, vyhlásenia o zhode, prehlásenia o parametroch, vyhlásenia o zhode, inšpekčné certifikáty na použité stavebné výrobky a</w:t>
      </w:r>
      <w:r w:rsidR="00FA11EA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 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materiály</w:t>
      </w:r>
      <w:r w:rsidR="00FA11EA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(s výnimkou tradičných stavebných materiálov</w:t>
      </w:r>
      <w:r w:rsidR="00E86C3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. </w:t>
      </w:r>
    </w:p>
    <w:p w14:paraId="2FBE770C" w14:textId="77777777" w:rsidR="00B42A8F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="00B42A8F" w:rsidRPr="00FD7327">
        <w:rPr>
          <w:rFonts w:asciiTheme="minorHAnsi" w:hAnsiTheme="minorHAnsi" w:cstheme="minorHAnsi"/>
          <w:color w:val="000000"/>
          <w:spacing w:val="2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áv</w:t>
      </w:r>
      <w:r w:rsidR="00B42A8F" w:rsidRPr="00FD7327">
        <w:rPr>
          <w:rFonts w:asciiTheme="minorHAnsi" w:hAnsiTheme="minorHAnsi" w:cstheme="minorHAnsi"/>
          <w:color w:val="000000"/>
          <w:spacing w:val="2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2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odbor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1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2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2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2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2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4"/>
          <w:sz w:val="24"/>
          <w:szCs w:val="24"/>
          <w:lang w:val="sk-SK"/>
        </w:rPr>
        <w:br/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2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2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g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h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</w:p>
    <w:p w14:paraId="38E9C34E" w14:textId="77777777" w:rsidR="00B42A8F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Doklady o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yk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odbor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ný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="00B42A8F" w:rsidRPr="00FD7327">
        <w:rPr>
          <w:rFonts w:asciiTheme="minorHAnsi" w:hAnsiTheme="minorHAnsi" w:cstheme="minorHAnsi"/>
          <w:color w:val="000000"/>
          <w:spacing w:val="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odborn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1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zsa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1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N,</w:t>
      </w:r>
      <w:r w:rsidR="00B42A8F" w:rsidRPr="00FD7327">
        <w:rPr>
          <w:rFonts w:asciiTheme="minorHAnsi" w:hAnsiTheme="minorHAnsi" w:cstheme="minorHAnsi"/>
          <w:color w:val="000000"/>
          <w:spacing w:val="1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talá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e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="00B42A8F" w:rsidRPr="00FD7327">
        <w:rPr>
          <w:rFonts w:asciiTheme="minorHAnsi" w:hAnsiTheme="minorHAnsi" w:cstheme="minorHAnsi"/>
          <w:color w:val="000000"/>
          <w:spacing w:val="-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te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ic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ar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í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po</w:t>
      </w:r>
      <w:r w:rsidR="00B42A8F" w:rsidRPr="00FD7327">
        <w:rPr>
          <w:rFonts w:asciiTheme="minorHAnsi" w:hAnsiTheme="minorHAnsi" w:cstheme="minorHAnsi"/>
          <w:color w:val="000000"/>
          <w:spacing w:val="5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ľ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vyh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R SR</w:t>
      </w:r>
      <w:r w:rsidR="00B42A8F" w:rsidRPr="00FD7327">
        <w:rPr>
          <w:rFonts w:asciiTheme="minorHAnsi" w:hAnsiTheme="minorHAnsi" w:cstheme="minorHAnsi"/>
          <w:color w:val="000000"/>
          <w:spacing w:val="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č.</w:t>
      </w:r>
      <w:r w:rsidR="00B42A8F" w:rsidRPr="00FD7327">
        <w:rPr>
          <w:rFonts w:asciiTheme="minorHAnsi" w:hAnsiTheme="minorHAnsi" w:cstheme="minorHAnsi"/>
          <w:color w:val="000000"/>
          <w:spacing w:val="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508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/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20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0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9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Z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  <w:r w:rsidR="00B42A8F" w:rsidRPr="00FD7327">
        <w:rPr>
          <w:rFonts w:asciiTheme="minorHAnsi" w:hAnsiTheme="minorHAnsi" w:cstheme="minorHAnsi"/>
          <w:color w:val="000000"/>
          <w:spacing w:val="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z.,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ú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pod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ob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ti</w:t>
      </w:r>
      <w:r w:rsidR="00B42A8F" w:rsidRPr="00FD7327">
        <w:rPr>
          <w:rFonts w:asciiTheme="minorHAnsi" w:hAnsiTheme="minorHAnsi" w:cstheme="minorHAnsi"/>
          <w:color w:val="000000"/>
          <w:spacing w:val="-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ie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b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zp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ti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tec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ým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ým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i, 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i,</w:t>
      </w:r>
      <w:r w:rsidR="00B42A8F"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el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tric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ký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yn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ový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tec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-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ia,</w:t>
      </w:r>
      <w:r w:rsidR="00B42A8F"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 xml:space="preserve"> 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po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ž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za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tec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sk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h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áta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yk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vš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v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ci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 te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to</w:t>
      </w:r>
      <w:r w:rsidR="00B42A8F" w:rsidRPr="00FD7327">
        <w:rPr>
          <w:rFonts w:asciiTheme="minorHAnsi" w:hAnsiTheme="minorHAnsi" w:cstheme="minorHAnsi"/>
          <w:color w:val="000000"/>
          <w:spacing w:val="-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lá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="00B42A8F"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g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.</w:t>
      </w:r>
    </w:p>
    <w:p w14:paraId="7AF646CC" w14:textId="77777777" w:rsidR="00B42A8F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4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4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ž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tí</w:t>
      </w:r>
      <w:r w:rsidR="00B42A8F" w:rsidRPr="00FD7327">
        <w:rPr>
          <w:rFonts w:asciiTheme="minorHAnsi" w:hAnsiTheme="minorHAnsi" w:cstheme="minorHAnsi"/>
          <w:color w:val="000000"/>
          <w:spacing w:val="4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  z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eš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pacing w:val="4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š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ý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4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4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4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pacing w:val="4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4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vb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4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a 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dr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4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a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mn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ž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3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,</w:t>
      </w:r>
      <w:r w:rsidR="00B42A8F" w:rsidRPr="00FD7327">
        <w:rPr>
          <w:rFonts w:asciiTheme="minorHAnsi" w:hAnsiTheme="minorHAnsi" w:cstheme="minorHAnsi"/>
          <w:color w:val="000000"/>
          <w:spacing w:val="3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3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pacing w:val="3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3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lizá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ií</w:t>
      </w:r>
      <w:r w:rsidR="00B42A8F" w:rsidRPr="00FD7327">
        <w:rPr>
          <w:rFonts w:asciiTheme="minorHAnsi" w:hAnsiTheme="minorHAnsi" w:cstheme="minorHAnsi"/>
          <w:color w:val="000000"/>
          <w:spacing w:val="3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ác</w:t>
      </w:r>
      <w:r w:rsidR="00B42A8F" w:rsidRPr="00FD7327">
        <w:rPr>
          <w:rFonts w:asciiTheme="minorHAnsi" w:hAnsiTheme="minorHAnsi" w:cstheme="minorHAnsi"/>
          <w:color w:val="000000"/>
          <w:spacing w:val="3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3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3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lá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3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(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8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č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3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3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,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ž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lí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,</w:t>
      </w:r>
      <w:r w:rsidR="00B42A8F"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>f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ú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za</w:t>
      </w:r>
      <w:r w:rsidR="00B42A8F" w:rsidRPr="00FD7327">
        <w:rPr>
          <w:rFonts w:asciiTheme="minorHAnsi" w:hAnsiTheme="minorHAnsi" w:cstheme="minorHAnsi"/>
          <w:color w:val="000000"/>
          <w:spacing w:val="1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ž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ie</w:t>
      </w:r>
      <w:r w:rsidR="00B42A8F" w:rsidRPr="00FD7327">
        <w:rPr>
          <w:rFonts w:asciiTheme="minorHAnsi" w:hAnsiTheme="minorHAnsi" w:cstheme="minorHAnsi"/>
          <w:color w:val="000000"/>
          <w:spacing w:val="5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)</w:t>
      </w:r>
      <w:r w:rsidR="00B42A8F" w:rsidRPr="00FD7327">
        <w:rPr>
          <w:rFonts w:asciiTheme="minorHAnsi" w:hAnsiTheme="minorHAnsi" w:cstheme="minorHAnsi"/>
          <w:color w:val="000000"/>
          <w:spacing w:val="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troch</w:t>
      </w:r>
      <w:r w:rsidRPr="00FD7327">
        <w:rPr>
          <w:rFonts w:asciiTheme="minorHAnsi" w:hAnsiTheme="minorHAnsi" w:cstheme="minorHAnsi"/>
          <w:color w:val="000000"/>
          <w:spacing w:val="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, z</w:t>
      </w:r>
      <w:r w:rsidR="00B42A8F" w:rsidRPr="00FD7327">
        <w:rPr>
          <w:rFonts w:asciiTheme="minorHAnsi" w:hAnsiTheme="minorHAnsi" w:cstheme="minorHAnsi"/>
          <w:color w:val="000000"/>
          <w:spacing w:val="1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g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e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ie)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</w:p>
    <w:p w14:paraId="5506FA8B" w14:textId="15402A61" w:rsidR="00B42A8F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y ATS </w:t>
      </w:r>
      <w:r w:rsidR="00130DBB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1, ATS 2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 troch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g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l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</w:p>
    <w:p w14:paraId="59A67592" w14:textId="7056D41F" w:rsidR="00F16B43" w:rsidRPr="00FD7327" w:rsidRDefault="00F16B43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Revízne správy</w:t>
      </w:r>
      <w:r w:rsidR="00957C19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elektroinštalácií, bleskozvodu</w:t>
      </w:r>
    </w:p>
    <w:p w14:paraId="131B1062" w14:textId="34993619" w:rsidR="00F16B43" w:rsidRPr="00FD7327" w:rsidRDefault="00F16B43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Zaškolenie obsluhy</w:t>
      </w:r>
    </w:p>
    <w:p w14:paraId="07C678D9" w14:textId="77777777" w:rsidR="00B42A8F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ab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zpe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ď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alš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="00B42A8F" w:rsidRPr="00FD7327">
        <w:rPr>
          <w:rFonts w:asciiTheme="minorHAnsi" w:hAnsiTheme="minorHAnsi" w:cstheme="minorHAnsi"/>
          <w:color w:val="000000"/>
          <w:spacing w:val="-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úv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iaci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pacing w:val="-10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5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í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m</w:t>
      </w:r>
      <w:r w:rsidR="00B42A8F" w:rsidRPr="00FD7327">
        <w:rPr>
          <w:rFonts w:asciiTheme="minorHAnsi" w:hAnsiTheme="minorHAnsi" w:cstheme="minorHAnsi"/>
          <w:color w:val="000000"/>
          <w:spacing w:val="-1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-9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troch</w:t>
      </w:r>
      <w:r w:rsidRPr="00FD7327">
        <w:rPr>
          <w:rFonts w:asciiTheme="minorHAnsi" w:hAnsiTheme="minorHAnsi" w:cstheme="minorHAnsi"/>
          <w:color w:val="000000"/>
          <w:spacing w:val="-3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c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,</w:t>
      </w:r>
    </w:p>
    <w:p w14:paraId="6416C1D8" w14:textId="77777777" w:rsidR="00B42A8F" w:rsidRPr="00FD7327" w:rsidRDefault="00B42A8F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En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g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eti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é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c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er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tifi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áty a Energetické štítky na stavebné objekty v nadväznosti na 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á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š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ku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M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D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S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č.</w:t>
      </w:r>
      <w:r w:rsidRPr="00FD7327">
        <w:rPr>
          <w:rFonts w:asciiTheme="minorHAnsi" w:hAnsiTheme="minorHAnsi" w:cstheme="minorHAnsi"/>
          <w:color w:val="000000"/>
          <w:spacing w:val="9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364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/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201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2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>Z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  <w:r w:rsidRPr="00FD7327">
        <w:rPr>
          <w:rFonts w:asciiTheme="minorHAnsi" w:hAnsiTheme="minorHAnsi" w:cstheme="minorHAnsi"/>
          <w:color w:val="000000"/>
          <w:spacing w:val="8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.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,</w:t>
      </w:r>
      <w:r w:rsidRPr="00FD7327">
        <w:rPr>
          <w:rFonts w:asciiTheme="minorHAnsi" w:hAnsiTheme="minorHAnsi" w:cstheme="minorHAnsi"/>
          <w:color w:val="000000"/>
          <w:spacing w:val="8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u</w:t>
      </w:r>
      <w:r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Pr="00FD7327">
        <w:rPr>
          <w:rFonts w:asciiTheme="minorHAnsi" w:hAnsiTheme="minorHAnsi" w:cstheme="minorHAnsi"/>
          <w:color w:val="000000"/>
          <w:spacing w:val="10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yk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á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 z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á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-3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č.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555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/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200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5</w:t>
      </w:r>
      <w:r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>Z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z.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g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eti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ej</w:t>
      </w:r>
      <w:r w:rsidRPr="00FD7327">
        <w:rPr>
          <w:rFonts w:asciiTheme="minorHAnsi" w:hAnsiTheme="minorHAnsi" w:cstheme="minorHAnsi"/>
          <w:color w:val="000000"/>
          <w:spacing w:val="-5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pod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ti</w:t>
      </w:r>
      <w:r w:rsidRPr="00FD7327">
        <w:rPr>
          <w:rFonts w:asciiTheme="minorHAnsi" w:hAnsiTheme="minorHAnsi" w:cstheme="minorHAnsi"/>
          <w:color w:val="000000"/>
          <w:spacing w:val="-9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b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 xml:space="preserve"> z</w:t>
      </w:r>
      <w:r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>m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dop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r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ý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Pr="00FD7327">
        <w:rPr>
          <w:rFonts w:asciiTheme="minorHAnsi" w:hAnsiTheme="minorHAnsi" w:cstheme="minorHAnsi"/>
          <w:color w:val="000000"/>
          <w:spacing w:val="-7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z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á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3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 z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s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š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í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Pr="00FD7327">
        <w:rPr>
          <w:rFonts w:asciiTheme="minorHAnsi" w:hAnsiTheme="minorHAnsi" w:cstheme="minorHAnsi"/>
          <w:color w:val="000000"/>
          <w:spacing w:val="-10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dp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9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v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ch</w:t>
      </w:r>
      <w:r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or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g</w:t>
      </w:r>
      <w:r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i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ál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c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h</w:t>
      </w:r>
      <w:r w:rsidRPr="00FD7327">
        <w:rPr>
          <w:rFonts w:asciiTheme="minorHAnsi" w:hAnsiTheme="minorHAnsi" w:cstheme="minorHAnsi"/>
          <w:color w:val="000000"/>
          <w:spacing w:val="-11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yh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n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iac</w:t>
      </w:r>
      <w:r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FA11EA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.</w:t>
      </w:r>
    </w:p>
    <w:p w14:paraId="58177154" w14:textId="77777777" w:rsidR="00B42A8F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D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od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6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j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tu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k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u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é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h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e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liz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n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ia</w:t>
      </w:r>
      <w:r w:rsidR="00B42A8F" w:rsidRPr="00FD7327">
        <w:rPr>
          <w:rFonts w:asciiTheme="minorHAnsi" w:hAnsiTheme="minorHAnsi" w:cstheme="minorHAnsi"/>
          <w:color w:val="000000"/>
          <w:spacing w:val="-7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s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</w:t>
      </w:r>
      <w:r w:rsidR="00B42A8F" w:rsidRPr="00FD7327">
        <w:rPr>
          <w:rFonts w:asciiTheme="minorHAnsi" w:hAnsiTheme="minorHAnsi" w:cstheme="minorHAnsi"/>
          <w:color w:val="000000"/>
          <w:spacing w:val="2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-1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3"/>
          <w:sz w:val="24"/>
          <w:szCs w:val="24"/>
          <w:lang w:val="sk-SK"/>
        </w:rPr>
        <w:t>b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y</w:t>
      </w:r>
      <w:r w:rsidR="00B42A8F" w:rsidRPr="00FD7327">
        <w:rPr>
          <w:rFonts w:asciiTheme="minorHAnsi" w:hAnsiTheme="minorHAnsi" w:cstheme="minorHAnsi"/>
          <w:color w:val="000000"/>
          <w:spacing w:val="-8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v</w:t>
      </w:r>
      <w:r w:rsidR="00B42A8F" w:rsidRPr="00FD7327">
        <w:rPr>
          <w:rFonts w:asciiTheme="minorHAnsi" w:hAnsiTheme="minorHAnsi" w:cstheme="minorHAnsi"/>
          <w:color w:val="000000"/>
          <w:spacing w:val="-2"/>
          <w:sz w:val="24"/>
          <w:szCs w:val="24"/>
          <w:lang w:val="sk-SK"/>
        </w:rPr>
        <w:t xml:space="preserve">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pacing w:val="4"/>
          <w:sz w:val="24"/>
          <w:szCs w:val="24"/>
          <w:lang w:val="sk-SK"/>
        </w:rPr>
        <w:t>o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čte</w:t>
      </w:r>
      <w:r w:rsidR="00B42A8F" w:rsidRPr="00FD7327">
        <w:rPr>
          <w:rFonts w:asciiTheme="minorHAnsi" w:hAnsiTheme="minorHAnsi" w:cstheme="minorHAnsi"/>
          <w:color w:val="000000"/>
          <w:spacing w:val="-4"/>
          <w:sz w:val="24"/>
          <w:szCs w:val="24"/>
          <w:lang w:val="sk-SK"/>
        </w:rPr>
        <w:t xml:space="preserve"> 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3 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a</w:t>
      </w:r>
      <w:r w:rsidR="00B42A8F"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r</w:t>
      </w:r>
      <w:r w:rsidR="00B42A8F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é.</w:t>
      </w:r>
    </w:p>
    <w:p w14:paraId="16639902" w14:textId="77777777" w:rsidR="00E436B0" w:rsidRPr="00FD7327" w:rsidRDefault="00FA11EA" w:rsidP="00B42A8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D</w:t>
      </w:r>
      <w:r w:rsidR="00E436B0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oklady o vytýčení sietí pred výstavbou</w:t>
      </w: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. </w:t>
      </w:r>
      <w:r w:rsidR="00E436B0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 </w:t>
      </w:r>
    </w:p>
    <w:p w14:paraId="05F18E03" w14:textId="73A8E2EF" w:rsidR="004D3365" w:rsidRPr="00073EF1" w:rsidRDefault="00FA11EA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P</w:t>
      </w:r>
      <w:r w:rsidR="004D3365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orealizačné zamerania inžinierskych sietí, vrátane vymedzenia ochranných pásiem, geometrické plány zamerania stavieb, autorizačne overené autorizovaným geodetom a kartografom a úradne overené katastrálnym odborom Okresného úradu Rožňava. </w:t>
      </w:r>
    </w:p>
    <w:p w14:paraId="567166CE" w14:textId="77777777" w:rsidR="00073EF1" w:rsidRPr="00073EF1" w:rsidRDefault="00073EF1" w:rsidP="00073EF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  <w:r w:rsidRPr="00073EF1">
        <w:rPr>
          <w:rFonts w:asciiTheme="minorHAnsi" w:hAnsiTheme="minorHAnsi" w:cstheme="minorHAnsi"/>
          <w:color w:val="000000"/>
          <w:sz w:val="24"/>
          <w:szCs w:val="24"/>
          <w:lang w:val="sk-SK"/>
        </w:rPr>
        <w:t xml:space="preserve">V nadväznosti na odborné stanovisko Technickej inšpekcie a.s., k projektovej dokumentácii stavby č. 1424/1/2021, je potrebné vypracovať konštrukčnú (dielenskú) </w:t>
      </w:r>
      <w:r w:rsidRPr="00073EF1">
        <w:rPr>
          <w:rFonts w:asciiTheme="minorHAnsi" w:hAnsiTheme="minorHAnsi" w:cstheme="minorHAnsi"/>
          <w:color w:val="000000"/>
          <w:sz w:val="24"/>
          <w:szCs w:val="24"/>
          <w:lang w:val="sk-SK"/>
        </w:rPr>
        <w:lastRenderedPageBreak/>
        <w:t>dokumentáciu vyhradeného technického zariadenia – trafostanica, ktorú je nutné dať posúdiť v zmysle požiadavky § 5 ods. 3 a 4 vyhlášky č. 508/2009 Z.z. a § 14 ods.1. písm. d, zákona č.124/2006 Z.z. v znení neskorších predpisov, a dokladovať ku kolaudácii stavby.</w:t>
      </w:r>
    </w:p>
    <w:p w14:paraId="5781CE17" w14:textId="470B919A" w:rsidR="00073EF1" w:rsidRPr="00073EF1" w:rsidRDefault="00073EF1" w:rsidP="00073EF1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val="sk-SK"/>
        </w:rPr>
      </w:pPr>
      <w:r w:rsidRPr="00073EF1">
        <w:rPr>
          <w:rFonts w:asciiTheme="minorHAnsi" w:hAnsiTheme="minorHAnsi" w:cstheme="minorHAnsi"/>
          <w:color w:val="000000"/>
          <w:sz w:val="24"/>
          <w:szCs w:val="24"/>
          <w:lang w:val="sk-SK"/>
        </w:rPr>
        <w:t>Po realizácii detského ihriska zhotoviteľ zabezpečí posúdenie bezpečnosti detského ihriska nezávislým inšpekčným orgánom (autorizovanou osobou) podľa STN EN 1176-7: 2021, článok 6 – Kontrola po montáži.</w:t>
      </w:r>
    </w:p>
    <w:p w14:paraId="1EE1C9FB" w14:textId="18164225" w:rsidR="00E672F9" w:rsidRPr="00FD7327" w:rsidRDefault="00FA11EA" w:rsidP="00E672F9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S</w:t>
      </w:r>
      <w:r w:rsidR="00075579" w:rsidRPr="00FD7327">
        <w:rPr>
          <w:rFonts w:asciiTheme="minorHAnsi" w:hAnsiTheme="minorHAnsi" w:cstheme="minorHAnsi"/>
          <w:color w:val="000000"/>
          <w:sz w:val="24"/>
          <w:szCs w:val="24"/>
          <w:lang w:val="sk-SK"/>
        </w:rPr>
        <w:t>tavebný denník</w:t>
      </w:r>
    </w:p>
    <w:p w14:paraId="21E2F178" w14:textId="68D3537B" w:rsidR="005E700F" w:rsidRPr="00FD7327" w:rsidRDefault="005E700F" w:rsidP="005E700F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Protokol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>y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o vykonaní a skončení rekultivácie – podľa</w:t>
      </w:r>
      <w:r w:rsidRPr="00FD7327"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  <w:t xml:space="preserve"> dokumentácií: </w:t>
      </w:r>
    </w:p>
    <w:p w14:paraId="3BAE6740" w14:textId="199AF29B" w:rsidR="005E700F" w:rsidRPr="00FD7327" w:rsidRDefault="005E700F" w:rsidP="005E700F">
      <w:pPr>
        <w:pStyle w:val="Odsekzoznamu"/>
        <w:numPr>
          <w:ilvl w:val="1"/>
          <w:numId w:val="1"/>
        </w:numPr>
        <w:spacing w:before="120" w:after="0"/>
        <w:contextualSpacing w:val="0"/>
        <w:jc w:val="both"/>
        <w:rPr>
          <w:rFonts w:asciiTheme="minorHAnsi" w:hAnsiTheme="minorHAnsi" w:cstheme="minorHAnsi"/>
          <w:color w:val="000000"/>
          <w:spacing w:val="1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lang w:val="sk-SK"/>
        </w:rPr>
        <w:t>Dokumentáci</w:t>
      </w:r>
      <w:r w:rsidRPr="00FD7327">
        <w:rPr>
          <w:rFonts w:asciiTheme="minorHAnsi" w:hAnsiTheme="minorHAnsi" w:cstheme="minorHAnsi"/>
          <w:color w:val="000000"/>
          <w:spacing w:val="1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1"/>
          <w:lang w:val="sk-SK"/>
        </w:rPr>
        <w:t xml:space="preserve"> k trvalému odňatiu PP pôdy – Realizačná dokumentácia skrývky humusového horizontu poľnohospodárskej pôdy pri odňatí natrvalo. </w:t>
      </w:r>
    </w:p>
    <w:p w14:paraId="2CBBE1A3" w14:textId="5AFCDD14" w:rsidR="005E700F" w:rsidRPr="00FD7327" w:rsidRDefault="005E700F" w:rsidP="005E700F">
      <w:pPr>
        <w:pStyle w:val="Odsekzoznamu"/>
        <w:numPr>
          <w:ilvl w:val="1"/>
          <w:numId w:val="1"/>
        </w:numPr>
        <w:spacing w:before="120" w:after="0"/>
        <w:contextualSpacing w:val="0"/>
        <w:jc w:val="both"/>
        <w:rPr>
          <w:rFonts w:asciiTheme="minorHAnsi" w:hAnsiTheme="minorHAnsi" w:cstheme="minorHAnsi"/>
          <w:color w:val="000000"/>
          <w:spacing w:val="1"/>
          <w:lang w:val="sk-SK"/>
        </w:rPr>
      </w:pPr>
      <w:r w:rsidRPr="00FD7327">
        <w:rPr>
          <w:rFonts w:asciiTheme="minorHAnsi" w:hAnsiTheme="minorHAnsi" w:cstheme="minorHAnsi"/>
          <w:color w:val="000000"/>
          <w:spacing w:val="1"/>
          <w:lang w:val="sk-SK"/>
        </w:rPr>
        <w:t>Dokumentáci</w:t>
      </w:r>
      <w:r w:rsidRPr="00FD7327">
        <w:rPr>
          <w:rFonts w:asciiTheme="minorHAnsi" w:hAnsiTheme="minorHAnsi" w:cstheme="minorHAnsi"/>
          <w:color w:val="000000"/>
          <w:spacing w:val="1"/>
          <w:lang w:val="sk-SK"/>
        </w:rPr>
        <w:t>e</w:t>
      </w:r>
      <w:r w:rsidRPr="00FD7327">
        <w:rPr>
          <w:rFonts w:asciiTheme="minorHAnsi" w:hAnsiTheme="minorHAnsi" w:cstheme="minorHAnsi"/>
          <w:color w:val="000000"/>
          <w:spacing w:val="1"/>
          <w:lang w:val="sk-SK"/>
        </w:rPr>
        <w:t xml:space="preserve"> k dočasnému odňatiu PP pôdy – Bilancia skrývky humusového horizontu poľnohospodárskej pôdy pri použití poľnohospodárskej pôdy na iné účely do jedného roka a návrh vrátenia poľnohospodárskej pôdy do pôvodného stavu.</w:t>
      </w:r>
    </w:p>
    <w:p w14:paraId="28F43553" w14:textId="77777777" w:rsidR="005E700F" w:rsidRPr="00FD7327" w:rsidRDefault="005E700F" w:rsidP="005E700F">
      <w:pPr>
        <w:pStyle w:val="Odsekzoznamu"/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000000"/>
          <w:spacing w:val="1"/>
          <w:sz w:val="24"/>
          <w:szCs w:val="24"/>
          <w:lang w:val="sk-SK"/>
        </w:rPr>
      </w:pPr>
    </w:p>
    <w:p w14:paraId="044B5B01" w14:textId="7A410D7A" w:rsidR="00687866" w:rsidRPr="00FD7327" w:rsidRDefault="00CE7D2E" w:rsidP="00687866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Podmienky pre tvorbu </w:t>
      </w:r>
      <w:r w:rsidR="00687866"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ponukovej ceny</w:t>
      </w: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>:</w:t>
      </w:r>
      <w:r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br/>
      </w:r>
      <w:r w:rsidRPr="00FD7327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 xml:space="preserve">Do ponukovej ceny je </w:t>
      </w:r>
      <w:r w:rsidR="00687866" w:rsidRPr="00FD7327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potrebné zahrnúť</w:t>
      </w:r>
      <w:r w:rsidR="00687866"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: </w:t>
      </w:r>
    </w:p>
    <w:p w14:paraId="3DE9625D" w14:textId="7237465C" w:rsidR="00F9760A" w:rsidRDefault="00F9760A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náklady na činnosti a dokumenty, popísané v predchíádzajúcich bodoch,</w:t>
      </w:r>
    </w:p>
    <w:p w14:paraId="1B49DDCC" w14:textId="617E1B47" w:rsidR="00FD7327" w:rsidRPr="00FD7327" w:rsidRDefault="00FD7327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náklady na vybudovanie, prevádzku a vypratanie zariadenia staveniska a stráženie staveniska počas výstavby,</w:t>
      </w:r>
    </w:p>
    <w:p w14:paraId="54062EB1" w14:textId="77777777" w:rsidR="00FD7327" w:rsidRPr="00FD7327" w:rsidRDefault="00FD7327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vedľajšie rozpočtové náklady VRN/resp. NUS, a kompletizačnú činnosť (KČ),</w:t>
      </w:r>
    </w:p>
    <w:p w14:paraId="0C3A1CBD" w14:textId="04B973A5" w:rsidR="00FD7327" w:rsidRPr="00FD7327" w:rsidRDefault="00FD7327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náklady na úhradu spotrebovaných energií (elektrická energia, úžitková voda)</w:t>
      </w:r>
      <w:r>
        <w:rPr>
          <w:rFonts w:asciiTheme="minorHAnsi" w:hAnsiTheme="minorHAnsi" w:cstheme="minorHAnsi"/>
        </w:rPr>
        <w:t>,</w:t>
      </w:r>
    </w:p>
    <w:p w14:paraId="2C6D295F" w14:textId="77777777" w:rsidR="00FD7327" w:rsidRPr="00FD7327" w:rsidRDefault="00FD7327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náklady na označenie stavby tabuľou s potrebnými údajmi o stavbe a účastníkoch výstavby.</w:t>
      </w:r>
    </w:p>
    <w:p w14:paraId="2F4E6ED2" w14:textId="039BA299" w:rsidR="00687866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zriadenie a odstránenie dočasných plôch</w:t>
      </w:r>
      <w:r w:rsidR="00FD7327">
        <w:rPr>
          <w:rFonts w:asciiTheme="minorHAnsi" w:hAnsiTheme="minorHAnsi" w:cstheme="minorHAnsi"/>
        </w:rPr>
        <w:t>,</w:t>
      </w:r>
    </w:p>
    <w:p w14:paraId="5178362B" w14:textId="4B7A788F" w:rsidR="00687866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zriadenie a odstránenie ochrany výkopov a dočasných premostení pre peších a vozidlá, </w:t>
      </w:r>
    </w:p>
    <w:p w14:paraId="650A1866" w14:textId="77777777" w:rsidR="00687866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ochrana jestvujúcich inžinierskych sietí pri výkopových prácach (neuvedených v položkách),</w:t>
      </w:r>
    </w:p>
    <w:p w14:paraId="535A4661" w14:textId="77777777" w:rsidR="00687866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cena za zapožičanie, zriadenie a odstránenie prenosného dopravného značenia, </w:t>
      </w:r>
    </w:p>
    <w:p w14:paraId="560480C8" w14:textId="77777777" w:rsidR="00687866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zriadenie a odstránenie zariadenia staveniska a skládok materiálu, </w:t>
      </w:r>
    </w:p>
    <w:p w14:paraId="32E80C88" w14:textId="77777777" w:rsidR="00687866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ochranné zariadenia a opatrenia proti prašnosti, vibráciám a hluku, </w:t>
      </w:r>
    </w:p>
    <w:p w14:paraId="6B279CCC" w14:textId="77777777" w:rsidR="003548FF" w:rsidRPr="003548FF" w:rsidRDefault="00687866" w:rsidP="003548FF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náklady na vytýčenie inžinierskych sietí,  náklady na vytýčenie stavby, </w:t>
      </w:r>
      <w:r w:rsidR="003548FF" w:rsidRPr="003548FF">
        <w:rPr>
          <w:rFonts w:asciiTheme="minorHAnsi" w:hAnsiTheme="minorHAnsi" w:cstheme="minorHAnsi"/>
        </w:rPr>
        <w:t>kontrolné geodetické merania, stabilizáciu vytyčovacích bodov počas výstavby, porealizačné zameranie stavby</w:t>
      </w:r>
    </w:p>
    <w:p w14:paraId="027EDA76" w14:textId="77777777" w:rsidR="005E700F" w:rsidRPr="00FD7327" w:rsidRDefault="00687866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poistenie stavby v rozsahu zmluvných podmienok, </w:t>
      </w:r>
    </w:p>
    <w:p w14:paraId="20004634" w14:textId="173FB824" w:rsidR="00957C19" w:rsidRPr="00FD7327" w:rsidRDefault="00BA39E8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g</w:t>
      </w:r>
      <w:r w:rsidR="0062273C" w:rsidRPr="00FD7327">
        <w:rPr>
          <w:rFonts w:asciiTheme="minorHAnsi" w:hAnsiTheme="minorHAnsi" w:cstheme="minorHAnsi"/>
        </w:rPr>
        <w:t xml:space="preserve">eodetické práce - vykonávané po výstavbe zameranie skutočného vyhotovenia </w:t>
      </w:r>
    </w:p>
    <w:p w14:paraId="79886A63" w14:textId="0D109117" w:rsidR="00957C19" w:rsidRPr="00FD7327" w:rsidRDefault="00957C19" w:rsidP="00FD7327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údržb</w:t>
      </w:r>
      <w:r w:rsidRPr="00FD7327">
        <w:rPr>
          <w:rFonts w:asciiTheme="minorHAnsi" w:hAnsiTheme="minorHAnsi" w:cstheme="minorHAnsi"/>
        </w:rPr>
        <w:t>a</w:t>
      </w:r>
      <w:r w:rsidRPr="00FD7327">
        <w:rPr>
          <w:rFonts w:asciiTheme="minorHAnsi" w:hAnsiTheme="minorHAnsi" w:cstheme="minorHAnsi"/>
        </w:rPr>
        <w:t xml:space="preserve"> a ošetrovan</w:t>
      </w:r>
      <w:r w:rsidRPr="00FD7327">
        <w:rPr>
          <w:rFonts w:asciiTheme="minorHAnsi" w:hAnsiTheme="minorHAnsi" w:cstheme="minorHAnsi"/>
        </w:rPr>
        <w:t xml:space="preserve">ie zasadených </w:t>
      </w:r>
      <w:r w:rsidRPr="00FD7327">
        <w:rPr>
          <w:rFonts w:asciiTheme="minorHAnsi" w:hAnsiTheme="minorHAnsi" w:cstheme="minorHAnsi"/>
        </w:rPr>
        <w:t xml:space="preserve">rastlín a stromov </w:t>
      </w:r>
      <w:r w:rsidRPr="00FD7327">
        <w:rPr>
          <w:rFonts w:asciiTheme="minorHAnsi" w:hAnsiTheme="minorHAnsi" w:cstheme="minorHAnsi"/>
        </w:rPr>
        <w:t xml:space="preserve">v lehote 2 roky </w:t>
      </w:r>
      <w:r w:rsidRPr="00FD7327">
        <w:rPr>
          <w:rFonts w:asciiTheme="minorHAnsi" w:hAnsiTheme="minorHAnsi" w:cstheme="minorHAnsi"/>
        </w:rPr>
        <w:t>po odovzdaní stavby</w:t>
      </w:r>
      <w:r w:rsidRPr="00FD7327">
        <w:rPr>
          <w:rFonts w:asciiTheme="minorHAnsi" w:hAnsiTheme="minorHAnsi" w:cstheme="minorHAnsi"/>
        </w:rPr>
        <w:t xml:space="preserve"> </w:t>
      </w:r>
    </w:p>
    <w:p w14:paraId="473A85D2" w14:textId="555C4231" w:rsidR="0023503A" w:rsidRDefault="00957C19" w:rsidP="00CB525E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212121"/>
          <w:shd w:val="clear" w:color="auto" w:fill="FFFFFF"/>
        </w:rPr>
      </w:pPr>
      <w:r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pri položkách reštaurátorských prác a 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prác </w:t>
      </w:r>
      <w:r w:rsidRPr="00FD7327">
        <w:rPr>
          <w:rFonts w:asciiTheme="minorHAnsi" w:hAnsiTheme="minorHAnsi" w:cstheme="minorHAnsi"/>
          <w:color w:val="212121"/>
          <w:shd w:val="clear" w:color="auto" w:fill="FFFFFF"/>
        </w:rPr>
        <w:t>umelecko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>-</w:t>
      </w:r>
      <w:r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remeselnej obnovy 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prvkov </w:t>
      </w:r>
      <w:r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je potrebné do cien započítať 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>aj o</w:t>
      </w:r>
      <w:r w:rsidR="0023503A" w:rsidRPr="00FD7327">
        <w:rPr>
          <w:rFonts w:asciiTheme="minorHAnsi" w:hAnsiTheme="minorHAnsi" w:cstheme="minorHAnsi"/>
          <w:color w:val="212121"/>
          <w:shd w:val="clear" w:color="auto" w:fill="FFFFFF"/>
        </w:rPr>
        <w:t>dvoz a likvidáci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>u</w:t>
      </w:r>
      <w:r w:rsidR="0023503A"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 odpadu, poplatk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y </w:t>
      </w:r>
      <w:r w:rsidR="0023503A" w:rsidRPr="00FD7327">
        <w:rPr>
          <w:rFonts w:asciiTheme="minorHAnsi" w:hAnsiTheme="minorHAnsi" w:cstheme="minorHAnsi"/>
          <w:color w:val="212121"/>
          <w:shd w:val="clear" w:color="auto" w:fill="FFFFFF"/>
        </w:rPr>
        <w:t>za skl</w:t>
      </w:r>
      <w:r w:rsidR="00FD37CC" w:rsidRPr="00FD7327">
        <w:rPr>
          <w:rFonts w:asciiTheme="minorHAnsi" w:hAnsiTheme="minorHAnsi" w:cstheme="minorHAnsi"/>
          <w:color w:val="212121"/>
          <w:shd w:val="clear" w:color="auto" w:fill="FFFFFF"/>
        </w:rPr>
        <w:t>á</w:t>
      </w:r>
      <w:r w:rsidR="0023503A" w:rsidRPr="00FD7327">
        <w:rPr>
          <w:rFonts w:asciiTheme="minorHAnsi" w:hAnsiTheme="minorHAnsi" w:cstheme="minorHAnsi"/>
          <w:color w:val="212121"/>
          <w:shd w:val="clear" w:color="auto" w:fill="FFFFFF"/>
        </w:rPr>
        <w:t>dku a presun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>y</w:t>
      </w:r>
      <w:r w:rsidR="0023503A" w:rsidRPr="00FD7327">
        <w:rPr>
          <w:rFonts w:asciiTheme="minorHAnsi" w:hAnsiTheme="minorHAnsi" w:cstheme="minorHAnsi"/>
          <w:color w:val="212121"/>
          <w:shd w:val="clear" w:color="auto" w:fill="FFFFFF"/>
        </w:rPr>
        <w:t xml:space="preserve"> hmôt</w:t>
      </w:r>
      <w:r w:rsidR="00CE7D2E" w:rsidRPr="00FD7327">
        <w:rPr>
          <w:rFonts w:asciiTheme="minorHAnsi" w:hAnsiTheme="minorHAnsi" w:cstheme="minorHAnsi"/>
          <w:color w:val="212121"/>
          <w:shd w:val="clear" w:color="auto" w:fill="FFFFFF"/>
        </w:rPr>
        <w:t>.</w:t>
      </w:r>
    </w:p>
    <w:p w14:paraId="71464B79" w14:textId="7CB1CB2B" w:rsidR="00FD7327" w:rsidRPr="00FD7327" w:rsidRDefault="003548FF" w:rsidP="00FD7327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Ďalšie</w:t>
      </w:r>
      <w:r w:rsidR="006B542C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 xml:space="preserve"> podmienky pre tvorbu po</w:t>
      </w:r>
      <w:r w:rsidR="00FD7327" w:rsidRPr="00FD7327">
        <w:rPr>
          <w:rFonts w:asciiTheme="minorHAnsi" w:hAnsiTheme="minorHAnsi" w:cstheme="minorHAnsi"/>
          <w:b/>
          <w:bCs/>
          <w:color w:val="000000"/>
          <w:spacing w:val="1"/>
          <w:sz w:val="24"/>
          <w:szCs w:val="24"/>
        </w:rPr>
        <w:t>nukovej ceny</w:t>
      </w:r>
      <w:r w:rsidR="00FD7327" w:rsidRPr="00FD7327">
        <w:rPr>
          <w:rFonts w:asciiTheme="minorHAnsi" w:hAnsiTheme="minorHAnsi" w:cstheme="minorHAnsi"/>
          <w:b/>
          <w:bCs/>
          <w:color w:val="000000"/>
          <w:spacing w:val="1"/>
          <w:sz w:val="32"/>
          <w:szCs w:val="32"/>
        </w:rPr>
        <w:t xml:space="preserve">: </w:t>
      </w:r>
    </w:p>
    <w:p w14:paraId="303D6293" w14:textId="77777777" w:rsidR="00FD7327" w:rsidRPr="00FD7327" w:rsidRDefault="00FD7327" w:rsidP="006B542C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Všetko, čo neobsahuje výkaz výmer a je to popísané v inej časti dokumentácie pre realizáciu stavby, je súčasťou stavby a zhotoviteľ je povinný započítať si tieto práce a materiály do nákladov stavby.</w:t>
      </w:r>
    </w:p>
    <w:p w14:paraId="3DFB6F67" w14:textId="77777777" w:rsidR="00FD7327" w:rsidRPr="00FD7327" w:rsidRDefault="00FD7327" w:rsidP="006B542C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 xml:space="preserve">Pri výkopových prácach sú zohľadnené všetky potrebné rozšírenia (debnenie, paženie a pod.). V prípade, že uchádzač z vlastných technologických alebo iných dôvodov potrebuje </w:t>
      </w:r>
      <w:r w:rsidRPr="00FD7327">
        <w:rPr>
          <w:rFonts w:asciiTheme="minorHAnsi" w:hAnsiTheme="minorHAnsi" w:cstheme="minorHAnsi"/>
        </w:rPr>
        <w:lastRenderedPageBreak/>
        <w:t>urobiť širšie alebo iné výkopy, musí všetky náklady s tým súvisiace premietnuť do predložených množstiev.</w:t>
      </w:r>
    </w:p>
    <w:p w14:paraId="71ED9FA0" w14:textId="77777777" w:rsidR="00FD7327" w:rsidRPr="00FD7327" w:rsidRDefault="00FD7327" w:rsidP="006B542C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Pri búracích prácach sú rozmery zakrytých konštrukcií stanovené kvalifikovaným odhadom. Pri realizácii búracích prác bude objem každej vybúranej konštrukcie odsúhlasený technickým dozorom investora. Bez jednoznačného odsúhlasenia objemu a kvality vybúraných hmôt investorom nie je zhotoviteľ stavebného diela oprávnený k fakturácii týchto prác.</w:t>
      </w:r>
    </w:p>
    <w:p w14:paraId="4411BBD4" w14:textId="77777777" w:rsidR="00FD7327" w:rsidRPr="00FD7327" w:rsidRDefault="00FD7327" w:rsidP="006B542C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Jednotkové ceny majú obsahovať náklady na prácu, všetky stroje, vybavenie a zariadenie, ich používanie a údržbu, ďalej všetky služby, ktoré zabezpečujú realizáciu prác, dokončenie, individuálne odskúšanie, komplexné skúšky technologického zariadenia, prevádzkových súborov, zmluvné záruky, bankové náklady, zisk, všeobecné riziká v súlade s ustanoveniami zmluvy, vrátane zmluvne stanovenými záväzkami a zodpovednosťou.</w:t>
      </w:r>
    </w:p>
    <w:p w14:paraId="775F93D9" w14:textId="77777777" w:rsidR="00FD7327" w:rsidRPr="00FD7327" w:rsidRDefault="00FD7327" w:rsidP="003548FF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3548FF">
        <w:rPr>
          <w:rFonts w:asciiTheme="minorHAnsi" w:hAnsiTheme="minorHAnsi" w:cstheme="minorHAnsi"/>
        </w:rPr>
        <w:t xml:space="preserve">V </w:t>
      </w:r>
      <w:r w:rsidRPr="00FD7327">
        <w:rPr>
          <w:rFonts w:asciiTheme="minorHAnsi" w:hAnsiTheme="minorHAnsi" w:cstheme="minorHAnsi"/>
        </w:rPr>
        <w:t>prípade, ak výkaz výmer neobsahuje samostatné položky pre naloženie a odvoz odpadu, ktorý je možné považovať za druhotnú surovinu (železo a oceľ, zmiešané kovy a pod. ) je uchádzač povinný náklady na naloženie a odvoz tohto odpadu započítať do položky pre demontáž tohto odpadu,</w:t>
      </w:r>
    </w:p>
    <w:p w14:paraId="6DC1E595" w14:textId="77777777" w:rsidR="00F9760A" w:rsidRDefault="00FD7327" w:rsidP="00F9760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D7327">
        <w:rPr>
          <w:rFonts w:asciiTheme="minorHAnsi" w:hAnsiTheme="minorHAnsi" w:cstheme="minorHAnsi"/>
        </w:rPr>
        <w:t>Pri oceňovaní lešenia je uchádzač povinný do jeho ceny zahrnúť všetky prvky v zmysle predpisov BOZP (ochranné siete, zábradlie, ochranné prvky pod stojky a pod. ), aj v prípade ak nie sú ako samostatné položky uvedené v poskytnutom výkaze výmer.</w:t>
      </w:r>
    </w:p>
    <w:p w14:paraId="79D09ED9" w14:textId="4CD17CB0" w:rsidR="00CE7D2E" w:rsidRDefault="00CE7D2E" w:rsidP="00F9760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9760A">
        <w:rPr>
          <w:rFonts w:asciiTheme="minorHAnsi" w:hAnsiTheme="minorHAnsi" w:cstheme="minorHAnsi"/>
        </w:rPr>
        <w:t xml:space="preserve">Predmet </w:t>
      </w:r>
      <w:r w:rsidR="00F9760A" w:rsidRPr="00F9760A">
        <w:rPr>
          <w:rFonts w:asciiTheme="minorHAnsi" w:hAnsiTheme="minorHAnsi" w:cstheme="minorHAnsi"/>
        </w:rPr>
        <w:t xml:space="preserve">zákazky </w:t>
      </w:r>
      <w:r w:rsidRPr="00F9760A">
        <w:rPr>
          <w:rFonts w:asciiTheme="minorHAnsi" w:hAnsiTheme="minorHAnsi" w:cstheme="minorHAnsi"/>
        </w:rPr>
        <w:t>je zadefinovaný popismi jednotlivých položiek podľa projektovej dokumentácie. Nie je možné, aby niektorá pracovná činnosť nebola zhotoviteľom stavebného diela ocenená a v prípade, že nie je samostatne určená, ide o druhotnú činnosť či prácu, ktorá technologicky súvisí s popísanými položkami a jej ocenenie musí byť započítané v jednotkovej cene súvisiacich prác, hlavných činností a konštrukcií.</w:t>
      </w:r>
    </w:p>
    <w:p w14:paraId="47067F0D" w14:textId="77777777" w:rsidR="000E75E0" w:rsidRPr="000E75E0" w:rsidRDefault="000E75E0" w:rsidP="000E75E0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0E75E0">
        <w:rPr>
          <w:rFonts w:asciiTheme="minorHAnsi" w:hAnsiTheme="minorHAnsi" w:cstheme="minorHAnsi"/>
        </w:rPr>
        <w:t>dvoz</w:t>
      </w:r>
      <w:r>
        <w:rPr>
          <w:rFonts w:asciiTheme="minorHAnsi" w:hAnsiTheme="minorHAnsi" w:cstheme="minorHAnsi"/>
        </w:rPr>
        <w:t xml:space="preserve">né vzdialenosti </w:t>
      </w:r>
      <w:r w:rsidRPr="000E75E0">
        <w:rPr>
          <w:rFonts w:asciiTheme="minorHAnsi" w:hAnsiTheme="minorHAnsi" w:cstheme="minorHAnsi"/>
        </w:rPr>
        <w:t>na skládk</w:t>
      </w:r>
      <w:r>
        <w:rPr>
          <w:rFonts w:asciiTheme="minorHAnsi" w:hAnsiTheme="minorHAnsi" w:cstheme="minorHAnsi"/>
        </w:rPr>
        <w:t xml:space="preserve">y sú </w:t>
      </w:r>
      <w:r w:rsidRPr="000E75E0">
        <w:rPr>
          <w:rFonts w:asciiTheme="minorHAnsi" w:hAnsiTheme="minorHAnsi" w:cstheme="minorHAnsi"/>
        </w:rPr>
        <w:t>zvolen</w:t>
      </w:r>
      <w:r>
        <w:rPr>
          <w:rFonts w:asciiTheme="minorHAnsi" w:hAnsiTheme="minorHAnsi" w:cstheme="minorHAnsi"/>
        </w:rPr>
        <w:t>é</w:t>
      </w:r>
      <w:r w:rsidRPr="000E75E0">
        <w:rPr>
          <w:rFonts w:asciiTheme="minorHAnsi" w:hAnsiTheme="minorHAnsi" w:cstheme="minorHAnsi"/>
        </w:rPr>
        <w:t xml:space="preserve"> ako referenčn</w:t>
      </w:r>
      <w:r>
        <w:rPr>
          <w:rFonts w:asciiTheme="minorHAnsi" w:hAnsiTheme="minorHAnsi" w:cstheme="minorHAnsi"/>
        </w:rPr>
        <w:t>é</w:t>
      </w:r>
      <w:r w:rsidRPr="000E75E0">
        <w:rPr>
          <w:rFonts w:asciiTheme="minorHAnsi" w:hAnsiTheme="minorHAnsi" w:cstheme="minorHAnsi"/>
        </w:rPr>
        <w:t>. Zhotoviteľ do ceny zahrnie náklady na odvoz sute na skládku, ktorá v čase obstarávania diela bude mať povolenie na likvidáciu alebo recykláciu stavebnej sute.</w:t>
      </w:r>
    </w:p>
    <w:p w14:paraId="1BFABE23" w14:textId="5F44FDA6" w:rsidR="002D316E" w:rsidRPr="00F9760A" w:rsidRDefault="002D316E" w:rsidP="00F9760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</w:rPr>
      </w:pPr>
      <w:r w:rsidRPr="00F9760A">
        <w:rPr>
          <w:rFonts w:asciiTheme="minorHAnsi" w:hAnsiTheme="minorHAnsi" w:cstheme="minorHAnsi"/>
        </w:rPr>
        <w:t>Výmery položiek vyjadrených mernými jednotkami v percentách % (napr. presuny hm</w:t>
      </w:r>
      <w:r w:rsidR="00F9760A">
        <w:rPr>
          <w:rFonts w:asciiTheme="minorHAnsi" w:hAnsiTheme="minorHAnsi" w:cstheme="minorHAnsi"/>
        </w:rPr>
        <w:t>ô</w:t>
      </w:r>
      <w:r w:rsidRPr="00F9760A">
        <w:rPr>
          <w:rFonts w:asciiTheme="minorHAnsi" w:hAnsiTheme="minorHAnsi" w:cstheme="minorHAnsi"/>
        </w:rPr>
        <w:t>t PSV) si uchádzač v</w:t>
      </w:r>
      <w:r w:rsidR="00F9760A">
        <w:rPr>
          <w:rFonts w:asciiTheme="minorHAnsi" w:hAnsiTheme="minorHAnsi" w:cstheme="minorHAnsi"/>
        </w:rPr>
        <w:t xml:space="preserve">ypĺňa </w:t>
      </w:r>
      <w:r w:rsidRPr="00F9760A">
        <w:rPr>
          <w:rFonts w:asciiTheme="minorHAnsi" w:hAnsiTheme="minorHAnsi" w:cstheme="minorHAnsi"/>
        </w:rPr>
        <w:t>sám pod</w:t>
      </w:r>
      <w:r w:rsidR="00F9760A">
        <w:rPr>
          <w:rFonts w:asciiTheme="minorHAnsi" w:hAnsiTheme="minorHAnsi" w:cstheme="minorHAnsi"/>
        </w:rPr>
        <w:t>ľ</w:t>
      </w:r>
      <w:r w:rsidRPr="00F9760A">
        <w:rPr>
          <w:rFonts w:asciiTheme="minorHAnsi" w:hAnsiTheme="minorHAnsi" w:cstheme="minorHAnsi"/>
        </w:rPr>
        <w:t>a metodiky rozpočtárskych programov napr. Cenkros, ODIS.</w:t>
      </w:r>
    </w:p>
    <w:p w14:paraId="08605E23" w14:textId="251798F9" w:rsidR="002D316E" w:rsidRPr="00E34D7E" w:rsidRDefault="002D316E" w:rsidP="00F9760A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E34D7E">
        <w:rPr>
          <w:rFonts w:asciiTheme="minorHAnsi" w:hAnsiTheme="minorHAnsi" w:cstheme="minorHAnsi"/>
        </w:rPr>
        <w:t xml:space="preserve">Informácie o materiáloch výrobkov vo výkresovej časti alebo technických správach môžu byť aj výrazne rozsiahlejšie ako je možné uviesť technicky v </w:t>
      </w:r>
      <w:r w:rsidR="00E34D7E" w:rsidRPr="00E34D7E">
        <w:rPr>
          <w:rFonts w:asciiTheme="minorHAnsi" w:hAnsiTheme="minorHAnsi" w:cstheme="minorHAnsi"/>
        </w:rPr>
        <w:t>texte</w:t>
      </w:r>
      <w:r w:rsidRPr="00E34D7E">
        <w:rPr>
          <w:rFonts w:asciiTheme="minorHAnsi" w:hAnsiTheme="minorHAnsi" w:cstheme="minorHAnsi"/>
        </w:rPr>
        <w:t xml:space="preserve"> názvu položky vo výkaze výmer, preto </w:t>
      </w:r>
      <w:r w:rsidRPr="00E34D7E">
        <w:rPr>
          <w:rFonts w:asciiTheme="minorHAnsi" w:hAnsiTheme="minorHAnsi" w:cstheme="minorHAnsi"/>
          <w:b/>
          <w:bCs/>
        </w:rPr>
        <w:t>je potrebné naštudovanie projektovej dokumentácie a oceňovať výkaz výmer ako celok a neoddeliteľnú súčasť projektovej dokumentácie.</w:t>
      </w:r>
    </w:p>
    <w:p w14:paraId="063887E9" w14:textId="77777777" w:rsidR="002D316E" w:rsidRPr="00FD7327" w:rsidRDefault="002D316E" w:rsidP="00CB525E">
      <w:pPr>
        <w:widowControl w:val="0"/>
        <w:autoSpaceDE w:val="0"/>
        <w:autoSpaceDN w:val="0"/>
        <w:adjustRightInd w:val="0"/>
        <w:spacing w:before="67" w:after="0" w:line="240" w:lineRule="auto"/>
        <w:jc w:val="both"/>
        <w:rPr>
          <w:rFonts w:asciiTheme="minorHAnsi" w:hAnsiTheme="minorHAnsi" w:cstheme="minorHAnsi"/>
          <w:color w:val="FF0000"/>
          <w:spacing w:val="1"/>
          <w:sz w:val="24"/>
          <w:szCs w:val="24"/>
          <w:lang w:val="sk-SK"/>
        </w:rPr>
      </w:pPr>
    </w:p>
    <w:sectPr w:rsidR="002D316E" w:rsidRPr="00FD7327" w:rsidSect="0025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53"/>
    <w:multiLevelType w:val="hybridMultilevel"/>
    <w:tmpl w:val="906635D6"/>
    <w:lvl w:ilvl="0" w:tplc="AE4C2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4E5D"/>
    <w:multiLevelType w:val="hybridMultilevel"/>
    <w:tmpl w:val="1CA8E40E"/>
    <w:lvl w:ilvl="0" w:tplc="041B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924BF1"/>
    <w:multiLevelType w:val="hybridMultilevel"/>
    <w:tmpl w:val="5B181C10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1C30BEA"/>
    <w:multiLevelType w:val="hybridMultilevel"/>
    <w:tmpl w:val="C73E20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1E6F8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93709"/>
    <w:multiLevelType w:val="hybridMultilevel"/>
    <w:tmpl w:val="297E1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0BA0"/>
    <w:multiLevelType w:val="hybridMultilevel"/>
    <w:tmpl w:val="43545740"/>
    <w:lvl w:ilvl="0" w:tplc="84FE8F98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6" w15:restartNumberingAfterBreak="0">
    <w:nsid w:val="53081E6A"/>
    <w:multiLevelType w:val="hybridMultilevel"/>
    <w:tmpl w:val="EA9E3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23CF"/>
    <w:multiLevelType w:val="hybridMultilevel"/>
    <w:tmpl w:val="D2C08936"/>
    <w:lvl w:ilvl="0" w:tplc="3EACB99E">
      <w:start w:val="1"/>
      <w:numFmt w:val="decimal"/>
      <w:lvlText w:val="%1."/>
      <w:lvlJc w:val="left"/>
      <w:pPr>
        <w:ind w:left="266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3384" w:hanging="360"/>
      </w:pPr>
    </w:lvl>
    <w:lvl w:ilvl="2" w:tplc="041B001B">
      <w:start w:val="1"/>
      <w:numFmt w:val="lowerRoman"/>
      <w:lvlText w:val="%3."/>
      <w:lvlJc w:val="right"/>
      <w:pPr>
        <w:ind w:left="4104" w:hanging="180"/>
      </w:pPr>
    </w:lvl>
    <w:lvl w:ilvl="3" w:tplc="041B000F" w:tentative="1">
      <w:start w:val="1"/>
      <w:numFmt w:val="decimal"/>
      <w:lvlText w:val="%4."/>
      <w:lvlJc w:val="left"/>
      <w:pPr>
        <w:ind w:left="4824" w:hanging="360"/>
      </w:pPr>
    </w:lvl>
    <w:lvl w:ilvl="4" w:tplc="041B0019" w:tentative="1">
      <w:start w:val="1"/>
      <w:numFmt w:val="lowerLetter"/>
      <w:lvlText w:val="%5."/>
      <w:lvlJc w:val="left"/>
      <w:pPr>
        <w:ind w:left="5544" w:hanging="360"/>
      </w:pPr>
    </w:lvl>
    <w:lvl w:ilvl="5" w:tplc="041B001B" w:tentative="1">
      <w:start w:val="1"/>
      <w:numFmt w:val="lowerRoman"/>
      <w:lvlText w:val="%6."/>
      <w:lvlJc w:val="right"/>
      <w:pPr>
        <w:ind w:left="6264" w:hanging="180"/>
      </w:pPr>
    </w:lvl>
    <w:lvl w:ilvl="6" w:tplc="041B000F" w:tentative="1">
      <w:start w:val="1"/>
      <w:numFmt w:val="decimal"/>
      <w:lvlText w:val="%7."/>
      <w:lvlJc w:val="left"/>
      <w:pPr>
        <w:ind w:left="6984" w:hanging="360"/>
      </w:pPr>
    </w:lvl>
    <w:lvl w:ilvl="7" w:tplc="041B0019" w:tentative="1">
      <w:start w:val="1"/>
      <w:numFmt w:val="lowerLetter"/>
      <w:lvlText w:val="%8."/>
      <w:lvlJc w:val="left"/>
      <w:pPr>
        <w:ind w:left="7704" w:hanging="360"/>
      </w:pPr>
    </w:lvl>
    <w:lvl w:ilvl="8" w:tplc="041B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8" w15:restartNumberingAfterBreak="0">
    <w:nsid w:val="593458AC"/>
    <w:multiLevelType w:val="hybridMultilevel"/>
    <w:tmpl w:val="F0101F06"/>
    <w:lvl w:ilvl="0" w:tplc="747AEEFC">
      <w:start w:val="1"/>
      <w:numFmt w:val="bullet"/>
      <w:pStyle w:val="AK-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C7BAC"/>
    <w:multiLevelType w:val="multilevel"/>
    <w:tmpl w:val="C832C1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464475"/>
    <w:multiLevelType w:val="hybridMultilevel"/>
    <w:tmpl w:val="BDC23020"/>
    <w:lvl w:ilvl="0" w:tplc="84FE8F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73FD2"/>
    <w:multiLevelType w:val="hybridMultilevel"/>
    <w:tmpl w:val="DC009B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E5294"/>
    <w:multiLevelType w:val="hybridMultilevel"/>
    <w:tmpl w:val="A036DC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2563"/>
    <w:multiLevelType w:val="hybridMultilevel"/>
    <w:tmpl w:val="DE0E6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84A9E"/>
    <w:multiLevelType w:val="hybridMultilevel"/>
    <w:tmpl w:val="C5981026"/>
    <w:lvl w:ilvl="0" w:tplc="041B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A8F"/>
    <w:rsid w:val="000040D7"/>
    <w:rsid w:val="00022AA4"/>
    <w:rsid w:val="00066206"/>
    <w:rsid w:val="00073EF1"/>
    <w:rsid w:val="00075579"/>
    <w:rsid w:val="00083E04"/>
    <w:rsid w:val="000E75E0"/>
    <w:rsid w:val="00130DBB"/>
    <w:rsid w:val="001A277C"/>
    <w:rsid w:val="001A3497"/>
    <w:rsid w:val="0023503A"/>
    <w:rsid w:val="002564DB"/>
    <w:rsid w:val="002D316E"/>
    <w:rsid w:val="003548FF"/>
    <w:rsid w:val="003C1C1E"/>
    <w:rsid w:val="003E137B"/>
    <w:rsid w:val="003F549B"/>
    <w:rsid w:val="00414E32"/>
    <w:rsid w:val="004D3365"/>
    <w:rsid w:val="00581752"/>
    <w:rsid w:val="005E700F"/>
    <w:rsid w:val="0060688A"/>
    <w:rsid w:val="0062273C"/>
    <w:rsid w:val="006237A4"/>
    <w:rsid w:val="00654C6F"/>
    <w:rsid w:val="00687866"/>
    <w:rsid w:val="006B0EC7"/>
    <w:rsid w:val="006B542C"/>
    <w:rsid w:val="007222FA"/>
    <w:rsid w:val="007E2BD3"/>
    <w:rsid w:val="00867922"/>
    <w:rsid w:val="008B17C2"/>
    <w:rsid w:val="008F0AFD"/>
    <w:rsid w:val="008F3C69"/>
    <w:rsid w:val="00957C19"/>
    <w:rsid w:val="009638AC"/>
    <w:rsid w:val="009E0B19"/>
    <w:rsid w:val="00A91906"/>
    <w:rsid w:val="00AE0CF6"/>
    <w:rsid w:val="00B00BDB"/>
    <w:rsid w:val="00B06854"/>
    <w:rsid w:val="00B42A8F"/>
    <w:rsid w:val="00B44A89"/>
    <w:rsid w:val="00BA39E8"/>
    <w:rsid w:val="00BB4A52"/>
    <w:rsid w:val="00C11E0D"/>
    <w:rsid w:val="00CB525E"/>
    <w:rsid w:val="00CE7D2E"/>
    <w:rsid w:val="00D10B7B"/>
    <w:rsid w:val="00D538F0"/>
    <w:rsid w:val="00DA6662"/>
    <w:rsid w:val="00DA6BD5"/>
    <w:rsid w:val="00E25B5A"/>
    <w:rsid w:val="00E34D7E"/>
    <w:rsid w:val="00E436B0"/>
    <w:rsid w:val="00E672F9"/>
    <w:rsid w:val="00E86C3F"/>
    <w:rsid w:val="00EB738C"/>
    <w:rsid w:val="00F16B43"/>
    <w:rsid w:val="00F72A3D"/>
    <w:rsid w:val="00F9760A"/>
    <w:rsid w:val="00FA11EA"/>
    <w:rsid w:val="00FD37CC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B226"/>
  <w15:docId w15:val="{621F69D8-4268-45B5-9B53-60604142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2A8F"/>
    <w:rPr>
      <w:rFonts w:ascii="Calibri" w:eastAsia="Times New Roman" w:hAnsi="Calibri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body,Odstavec cíl se seznamem,Odstavec se seznamem1,VS_Odsek,Odsek zoznamu2,Bullet Number,lp1,lp11,List Paragraph11,Bullet 1,Use Case List Paragraph,Medium List 2 - Accent 41,List Paragraph,Bullet List,FooterText,numbered"/>
    <w:basedOn w:val="Normlny"/>
    <w:link w:val="OdsekzoznamuChar"/>
    <w:uiPriority w:val="34"/>
    <w:qFormat/>
    <w:rsid w:val="00B42A8F"/>
    <w:pPr>
      <w:ind w:left="720"/>
      <w:contextualSpacing/>
    </w:pPr>
  </w:style>
  <w:style w:type="character" w:styleId="Odkaznakomentr">
    <w:name w:val="annotation reference"/>
    <w:qFormat/>
    <w:rsid w:val="00C11E0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11E0D"/>
    <w:pPr>
      <w:spacing w:after="0" w:line="240" w:lineRule="auto"/>
    </w:pPr>
    <w:rPr>
      <w:rFonts w:ascii="Times New Roman" w:hAnsi="Times New Roman"/>
      <w:sz w:val="20"/>
      <w:szCs w:val="20"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rsid w:val="00C11E0D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uiPriority w:val="99"/>
    <w:rsid w:val="00130D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30DBB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72F9"/>
    <w:pPr>
      <w:spacing w:after="160"/>
    </w:pPr>
    <w:rPr>
      <w:rFonts w:ascii="Calibri" w:hAnsi="Calibri"/>
      <w:b/>
      <w:bCs/>
      <w:lang w:val="cs-CZ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72F9"/>
    <w:rPr>
      <w:rFonts w:ascii="Calibri" w:eastAsia="Times New Roman" w:hAnsi="Calibri" w:cs="Times New Roman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2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ekzoznamuChar">
    <w:name w:val="Odsek zoznamu Char"/>
    <w:aliases w:val="body 2 Char,Lista 1 Char,body Char,Odstavec cíl se seznamem Char,Odstavec se seznamem1 Char,VS_Odsek Char,Odsek zoznamu2 Char,Bullet Number Char,lp1 Char,lp11 Char,List Paragraph11 Char,Bullet 1 Char,Use Case List Paragraph Char"/>
    <w:link w:val="Odsekzoznamu"/>
    <w:uiPriority w:val="34"/>
    <w:qFormat/>
    <w:rsid w:val="00BB4A52"/>
    <w:rPr>
      <w:rFonts w:ascii="Calibri" w:eastAsia="Times New Roman" w:hAnsi="Calibri" w:cs="Times New Roman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2D3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customStyle="1" w:styleId="AK-odrky">
    <w:name w:val="AK - odrážky"/>
    <w:basedOn w:val="Normlny"/>
    <w:qFormat/>
    <w:rsid w:val="00CE7D2E"/>
    <w:pPr>
      <w:numPr>
        <w:numId w:val="13"/>
      </w:numPr>
      <w:spacing w:after="0" w:line="276" w:lineRule="auto"/>
    </w:pPr>
    <w:rPr>
      <w:rFonts w:ascii="Arial Nova" w:hAnsi="Arial Nova"/>
      <w:sz w:val="18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Šmelkova</dc:creator>
  <cp:lastModifiedBy>Erika Šmelková</cp:lastModifiedBy>
  <cp:revision>26</cp:revision>
  <dcterms:created xsi:type="dcterms:W3CDTF">2021-09-24T05:58:00Z</dcterms:created>
  <dcterms:modified xsi:type="dcterms:W3CDTF">2021-11-17T19:09:00Z</dcterms:modified>
</cp:coreProperties>
</file>