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957F11"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2C9DD533" w:rsidR="00610139" w:rsidRPr="00D96665" w:rsidRDefault="00610139" w:rsidP="00610139">
      <w:pPr>
        <w:spacing w:after="0"/>
        <w:jc w:val="both"/>
        <w:rPr>
          <w:rFonts w:cs="Arial"/>
          <w:b/>
          <w:szCs w:val="20"/>
        </w:rPr>
      </w:pPr>
      <w:r w:rsidRPr="007F775F">
        <w:rPr>
          <w:rFonts w:cs="Arial"/>
          <w:i/>
          <w:szCs w:val="20"/>
          <w:highlight w:val="yellow"/>
        </w:rPr>
        <w:t>Lesnícke služby v ťažbovom procese na OZ</w:t>
      </w:r>
      <w:r w:rsidR="00B95BE4" w:rsidRPr="007F775F">
        <w:rPr>
          <w:rFonts w:cs="Arial"/>
          <w:i/>
          <w:szCs w:val="20"/>
          <w:highlight w:val="yellow"/>
        </w:rPr>
        <w:t xml:space="preserve"> Levice</w:t>
      </w:r>
      <w:r w:rsidRPr="007F775F">
        <w:rPr>
          <w:rFonts w:cs="Arial"/>
          <w:i/>
          <w:szCs w:val="20"/>
          <w:highlight w:val="yellow"/>
        </w:rPr>
        <w:t>, VC</w:t>
      </w:r>
      <w:r w:rsidR="005E6172" w:rsidRPr="007F775F">
        <w:rPr>
          <w:rFonts w:cs="Arial"/>
          <w:i/>
          <w:szCs w:val="20"/>
          <w:highlight w:val="yellow"/>
        </w:rPr>
        <w:t xml:space="preserve"> Modrý Kameň</w:t>
      </w:r>
      <w:r w:rsidRPr="007F775F">
        <w:rPr>
          <w:rFonts w:cs="Arial"/>
          <w:szCs w:val="20"/>
          <w:highlight w:val="yellow"/>
        </w:rPr>
        <w:t xml:space="preserve"> - výzva č. </w:t>
      </w:r>
      <w:r w:rsidR="005E6172" w:rsidRPr="007F775F">
        <w:rPr>
          <w:rFonts w:cs="Arial"/>
          <w:szCs w:val="20"/>
          <w:highlight w:val="yellow"/>
        </w:rPr>
        <w:t>1</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63B8B75C"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5 543,89</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949B6F3"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7F775F">
        <w:rPr>
          <w:rFonts w:ascii="Arial" w:hAnsi="Arial" w:cs="Arial"/>
          <w:sz w:val="20"/>
          <w:lang w:val="sk-SK" w:eastAsia="sk-SK"/>
        </w:rPr>
        <w:t xml:space="preserve">Ondrej </w:t>
      </w:r>
      <w:proofErr w:type="spellStart"/>
      <w:r w:rsidR="007F775F">
        <w:rPr>
          <w:rFonts w:ascii="Arial" w:hAnsi="Arial" w:cs="Arial"/>
          <w:sz w:val="20"/>
          <w:lang w:val="sk-SK" w:eastAsia="sk-SK"/>
        </w:rPr>
        <w:t>Kóša</w:t>
      </w:r>
      <w:proofErr w:type="spellEnd"/>
      <w:r w:rsidRPr="00D96665">
        <w:rPr>
          <w:rFonts w:ascii="Arial" w:hAnsi="Arial" w:cs="Arial"/>
          <w:sz w:val="20"/>
          <w:highlight w:val="yellow"/>
          <w:lang w:val="sk-SK" w:eastAsia="sk-SK"/>
        </w:rPr>
        <w:t xml:space="preserve"> </w:t>
      </w:r>
      <w:proofErr w:type="spellStart"/>
      <w:r w:rsidRPr="00D96665">
        <w:rPr>
          <w:rFonts w:ascii="Arial" w:hAnsi="Arial" w:cs="Arial"/>
          <w:sz w:val="20"/>
          <w:highlight w:val="yellow"/>
          <w:lang w:val="sk-SK" w:eastAsia="sk-SK"/>
        </w:rPr>
        <w:t>tel</w:t>
      </w:r>
      <w:proofErr w:type="spellEnd"/>
      <w:r w:rsidRPr="00D96665">
        <w:rPr>
          <w:rFonts w:ascii="Arial" w:hAnsi="Arial" w:cs="Arial"/>
          <w:sz w:val="20"/>
          <w:highlight w:val="yellow"/>
          <w:lang w:val="sk-SK" w:eastAsia="sk-SK"/>
        </w:rPr>
        <w:t xml:space="preserve">: </w:t>
      </w:r>
      <w:r w:rsidR="005E6172">
        <w:rPr>
          <w:rFonts w:ascii="Arial" w:hAnsi="Arial" w:cs="Arial"/>
          <w:sz w:val="20"/>
          <w:highlight w:val="yellow"/>
          <w:lang w:val="sk-SK" w:eastAsia="sk-SK"/>
        </w:rPr>
        <w:t>091833373</w:t>
      </w:r>
      <w:r w:rsidR="007F775F">
        <w:rPr>
          <w:rFonts w:ascii="Arial" w:hAnsi="Arial" w:cs="Arial"/>
          <w:sz w:val="20"/>
          <w:highlight w:val="yellow"/>
          <w:lang w:val="sk-SK" w:eastAsia="sk-SK"/>
        </w:rPr>
        <w:t>5</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1F593C17"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7F775F" w:rsidRPr="007F775F">
        <w:rPr>
          <w:rFonts w:ascii="Arial" w:hAnsi="Arial" w:cs="Arial"/>
          <w:sz w:val="20"/>
          <w:highlight w:val="yellow"/>
          <w:lang w:val="sk-SK"/>
        </w:rPr>
        <w:t>26</w:t>
      </w:r>
      <w:r w:rsidR="005E6172" w:rsidRPr="007F775F">
        <w:rPr>
          <w:rFonts w:ascii="Arial" w:hAnsi="Arial" w:cs="Arial"/>
          <w:sz w:val="20"/>
          <w:highlight w:val="yellow"/>
          <w:lang w:val="sk-SK"/>
        </w:rPr>
        <w:t>.</w:t>
      </w:r>
      <w:r w:rsidR="007F775F" w:rsidRPr="007F775F">
        <w:rPr>
          <w:rFonts w:ascii="Arial" w:hAnsi="Arial" w:cs="Arial"/>
          <w:sz w:val="20"/>
          <w:highlight w:val="yellow"/>
          <w:lang w:val="sk-SK"/>
        </w:rPr>
        <w:t>1</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5E6172" w:rsidRPr="007F775F">
        <w:rPr>
          <w:rFonts w:ascii="Arial" w:hAnsi="Arial" w:cs="Arial"/>
          <w:sz w:val="20"/>
          <w:highlight w:val="yellow"/>
          <w:lang w:val="sk-SK"/>
        </w:rPr>
        <w:t>10,00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1A1D6BAC"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5E6172" w:rsidRPr="005E6172">
        <w:rPr>
          <w:rFonts w:eastAsia="TimesNewRomanPSMT" w:cs="Arial"/>
          <w:highlight w:val="yellow"/>
        </w:rPr>
        <w:t>2</w:t>
      </w:r>
      <w:r w:rsidR="007F775F">
        <w:rPr>
          <w:rFonts w:eastAsia="TimesNewRomanPSMT" w:cs="Arial"/>
          <w:highlight w:val="yellow"/>
        </w:rPr>
        <w:t>6</w:t>
      </w:r>
      <w:r w:rsidR="005E6172" w:rsidRPr="005E6172">
        <w:rPr>
          <w:rFonts w:eastAsia="TimesNewRomanPSMT" w:cs="Arial"/>
          <w:highlight w:val="yellow"/>
        </w:rPr>
        <w:t>.</w:t>
      </w:r>
      <w:r w:rsidR="007F775F">
        <w:rPr>
          <w:rFonts w:eastAsia="TimesNewRomanPSMT" w:cs="Arial"/>
          <w:highlight w:val="yellow"/>
        </w:rPr>
        <w:t>1</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8" w:name="_Toc488059688"/>
      <w:r w:rsidRPr="00D96665">
        <w:rPr>
          <w:rFonts w:cs="Arial"/>
          <w:b/>
          <w:szCs w:val="20"/>
        </w:rPr>
        <w:t>Vyhodnotenie ponúk</w:t>
      </w:r>
      <w:bookmarkEnd w:id="8"/>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9"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9"/>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630C9B3F"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402ADA62" w14:textId="75ACAEED" w:rsidR="00610139" w:rsidRPr="00D96665" w:rsidRDefault="00610139" w:rsidP="00610139">
      <w:pPr>
        <w:spacing w:after="0"/>
        <w:jc w:val="both"/>
        <w:rPr>
          <w:rFonts w:cs="Arial"/>
          <w:szCs w:val="20"/>
        </w:rPr>
      </w:pPr>
      <w:bookmarkStart w:id="10"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0"/>
      <w:r w:rsidRPr="00D96665">
        <w:rPr>
          <w:rFonts w:cs="Arial"/>
          <w:szCs w:val="20"/>
        </w:rPr>
        <w:t xml:space="preserve"> Celková cena v ponuke dodávateľa sa stanoví ako súčet cien za jednotlivé porasty. </w:t>
      </w:r>
    </w:p>
    <w:p w14:paraId="371C97ED" w14:textId="7CBFC1A4"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1" w:name="_Toc488059690"/>
      <w:r w:rsidRPr="00D96665">
        <w:rPr>
          <w:rFonts w:cs="Arial"/>
          <w:b/>
          <w:szCs w:val="20"/>
        </w:rPr>
        <w:t>Informácia o výsledku vyhodnotenia ponúk a uzavretie zmluvy</w:t>
      </w:r>
      <w:bookmarkEnd w:id="11"/>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bookmarkStart w:id="12" w:name="_GoBack"/>
      <w:bookmarkEnd w:id="12"/>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4A71F" w14:textId="77777777" w:rsidR="00957F11" w:rsidRDefault="00957F11">
      <w:r>
        <w:separator/>
      </w:r>
    </w:p>
  </w:endnote>
  <w:endnote w:type="continuationSeparator" w:id="0">
    <w:p w14:paraId="7B69BADE" w14:textId="77777777" w:rsidR="00957F11" w:rsidRDefault="0095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F775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F775F">
                    <w:rPr>
                      <w:bCs/>
                      <w:noProof/>
                      <w:sz w:val="18"/>
                      <w:szCs w:val="18"/>
                    </w:rPr>
                    <w:t>11</w:t>
                  </w:r>
                  <w:r w:rsidRPr="007C3D49">
                    <w:rPr>
                      <w:bCs/>
                      <w:sz w:val="18"/>
                      <w:szCs w:val="18"/>
                    </w:rPr>
                    <w:fldChar w:fldCharType="end"/>
                  </w:r>
                </w:p>
              </w:tc>
            </w:tr>
          </w:tbl>
          <w:p w14:paraId="6C1DB06B" w14:textId="4C1116E8" w:rsidR="005E6172" w:rsidRPr="002917A0" w:rsidRDefault="00957F1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CFB56" w14:textId="77777777" w:rsidR="00957F11" w:rsidRDefault="00957F11">
      <w:r>
        <w:separator/>
      </w:r>
    </w:p>
  </w:footnote>
  <w:footnote w:type="continuationSeparator" w:id="0">
    <w:p w14:paraId="6F11F7E2" w14:textId="77777777" w:rsidR="00957F11" w:rsidRDefault="00957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E6172" w:rsidRDefault="005E617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1736891" w:rsidR="005E6172" w:rsidRPr="007C3D49" w:rsidRDefault="005E6172" w:rsidP="007C3D49">
          <w:pPr>
            <w:pStyle w:val="Nadpis4"/>
            <w:tabs>
              <w:tab w:val="clear" w:pos="576"/>
            </w:tabs>
            <w:rPr>
              <w:color w:val="005941"/>
              <w:sz w:val="24"/>
            </w:rPr>
          </w:pPr>
          <w:r>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DBA91-BCD8-42FA-92D0-014D2E7E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4998</Words>
  <Characters>28489</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15</cp:revision>
  <cp:lastPrinted>2021-03-30T12:19:00Z</cp:lastPrinted>
  <dcterms:created xsi:type="dcterms:W3CDTF">2021-07-02T05:35:00Z</dcterms:created>
  <dcterms:modified xsi:type="dcterms:W3CDTF">2022-01-12T12:39:00Z</dcterms:modified>
  <cp:category>EIZ</cp:category>
</cp:coreProperties>
</file>