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5D9BE521"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Pr="009E4C59">
        <w:rPr>
          <w:rFonts w:ascii="Candara" w:hAnsi="Candara" w:cstheme="minorHAnsi"/>
          <w:b/>
          <w:caps/>
          <w:noProof/>
        </w:rPr>
        <w:t xml:space="preserve">Zabezpečenie technického vybavenia pre zberný dvor </w:t>
      </w:r>
      <w:r w:rsidR="00843CDB">
        <w:rPr>
          <w:rFonts w:ascii="Candara" w:hAnsi="Candara" w:cstheme="minorHAnsi"/>
          <w:b/>
          <w:caps/>
          <w:noProof/>
        </w:rPr>
        <w:t>Likavka</w:t>
      </w:r>
      <w:r w:rsidR="0042472B">
        <w:rPr>
          <w:rFonts w:ascii="Candara" w:hAnsi="Candara" w:cstheme="minorHAnsi"/>
          <w:b/>
          <w:caps/>
          <w:noProof/>
        </w:rPr>
        <w:t xml:space="preserve"> – </w:t>
      </w:r>
      <w:r w:rsidR="00D90022" w:rsidRPr="00D90022">
        <w:rPr>
          <w:rFonts w:ascii="Candara" w:hAnsi="Candara" w:cstheme="minorHAnsi"/>
          <w:b/>
          <w:caps/>
          <w:noProof/>
        </w:rPr>
        <w:t>Vyklápací náves</w:t>
      </w:r>
      <w:r w:rsidRPr="00843CDB">
        <w:rPr>
          <w:rFonts w:ascii="Candara" w:hAnsi="Candara" w:cstheme="minorHAnsi"/>
          <w:b/>
          <w:caps/>
          <w:noProof/>
        </w:rPr>
        <w:t xml:space="preserve">“ časť </w:t>
      </w:r>
      <w:r w:rsidR="00D90022">
        <w:rPr>
          <w:rFonts w:ascii="Candara" w:hAnsi="Candara" w:cstheme="minorHAnsi"/>
          <w:b/>
          <w:caps/>
          <w:noProof/>
        </w:rPr>
        <w:t>2</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217685FB"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843CDB">
        <w:rPr>
          <w:rFonts w:ascii="Candara" w:hAnsi="Candara" w:cstheme="minorHAnsi"/>
          <w:shd w:val="clear" w:color="auto" w:fill="FFFFFF"/>
        </w:rPr>
        <w:t>Likavka</w:t>
      </w:r>
      <w:r w:rsidRPr="009E4C59">
        <w:rPr>
          <w:rFonts w:ascii="Candara" w:hAnsi="Candara" w:cstheme="minorHAnsi"/>
          <w:b/>
          <w:noProof/>
        </w:rPr>
        <w:tab/>
      </w:r>
    </w:p>
    <w:p w14:paraId="058528AE" w14:textId="77777777"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034 95 Likavka 815</w:t>
      </w:r>
    </w:p>
    <w:p w14:paraId="3CE73E2C" w14:textId="3727C984"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843CDB" w:rsidRPr="00843CDB">
        <w:rPr>
          <w:rFonts w:ascii="Candara" w:hAnsi="Candara" w:cstheme="minorHAnsi"/>
          <w:noProof/>
        </w:rPr>
        <w:t>Ing. Marián Javorka, starosta obce</w:t>
      </w:r>
    </w:p>
    <w:p w14:paraId="0E48FE93" w14:textId="30A59A40"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843CDB" w:rsidRPr="00843CDB">
        <w:rPr>
          <w:rFonts w:ascii="Candara" w:hAnsi="Candara" w:cstheme="minorHAnsi"/>
          <w:noProof/>
        </w:rPr>
        <w:t>00315362</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0D243053"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B568C1" w:rsidRPr="00843CDB">
        <w:rPr>
          <w:rFonts w:ascii="Candara" w:hAnsi="Candara" w:cstheme="minorHAnsi"/>
          <w:noProof/>
        </w:rPr>
        <w:t>Ing. Marián Javorka</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9E4C59"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t>Kupujúci na obstaranie predmetu tejto zmluvy použil postup verejného obstarávania v súlade so zákonom č. 343/2015 Z. z. o verejnom obstarávaní a o zmene a doplnení niektorých zákonov v znení neskorších predpisov, v ktorom sa úspešným uchádzačom stal Predávajúci.</w:t>
      </w:r>
    </w:p>
    <w:p w14:paraId="1BB97731" w14:textId="77777777" w:rsidR="00F12D32" w:rsidRPr="00ED357A" w:rsidRDefault="00F12D32" w:rsidP="00F12D32">
      <w:pPr>
        <w:pStyle w:val="Odsekzoznamu"/>
        <w:numPr>
          <w:ilvl w:val="1"/>
          <w:numId w:val="16"/>
        </w:numPr>
        <w:spacing w:after="120"/>
        <w:jc w:val="both"/>
        <w:rPr>
          <w:rFonts w:ascii="Candara" w:hAnsi="Candara" w:cstheme="minorHAnsi"/>
          <w:noProof/>
        </w:rPr>
      </w:pPr>
      <w:r w:rsidRPr="009E4C59">
        <w:rPr>
          <w:rFonts w:ascii="Candara" w:hAnsi="Candara" w:cstheme="minorHAnsi"/>
          <w:noProof/>
        </w:rPr>
        <w:t>Táto zmluva sa uzatvára v súvislosti s realizáciou projektu „</w:t>
      </w:r>
      <w:r>
        <w:rPr>
          <w:rFonts w:ascii="Candara" w:hAnsi="Candara" w:cstheme="minorHAnsi"/>
          <w:noProof/>
        </w:rPr>
        <w:t>Triedený zber komunálnych odpadov</w:t>
      </w:r>
      <w:r w:rsidRPr="009E4C59">
        <w:rPr>
          <w:rFonts w:ascii="Candara" w:hAnsi="Candara" w:cstheme="minorHAnsi"/>
          <w:noProof/>
        </w:rPr>
        <w:t xml:space="preserve">”, ktorý je spolufinancovaný prostredníctvom </w:t>
      </w:r>
      <w:r w:rsidRPr="00ED357A">
        <w:rPr>
          <w:rFonts w:ascii="Candara" w:hAnsi="Candara" w:cstheme="minorHAnsi"/>
          <w:noProof/>
        </w:rPr>
        <w:t>európskych štrukturálnych a investičných fondov v rámci operačného programu kvalita životného prostredia</w:t>
      </w:r>
      <w:r>
        <w:rPr>
          <w:rFonts w:ascii="Candara" w:hAnsi="Candara" w:cstheme="minorHAnsi"/>
          <w:noProof/>
        </w:rPr>
        <w:t xml:space="preserve">, Prioritná os: </w:t>
      </w:r>
      <w:r w:rsidRPr="00ED357A">
        <w:rPr>
          <w:rFonts w:ascii="Candara" w:hAnsi="Candara" w:cstheme="minorHAnsi"/>
          <w:noProof/>
        </w:rPr>
        <w:t>1. Udržateľné využívanie prírodných zdrojov prostredníctvom rozvoja environmentálnej infraštruktúry a</w:t>
      </w:r>
      <w:r>
        <w:rPr>
          <w:rFonts w:ascii="Candara" w:hAnsi="Candara" w:cstheme="minorHAnsi"/>
          <w:noProof/>
        </w:rPr>
        <w:t xml:space="preserve"> Špecifického </w:t>
      </w:r>
      <w:r w:rsidRPr="00ED357A">
        <w:rPr>
          <w:rFonts w:ascii="Candara" w:hAnsi="Candara" w:cstheme="minorHAnsi"/>
          <w:noProof/>
        </w:rPr>
        <w:t>cieľa</w:t>
      </w:r>
      <w:r>
        <w:rPr>
          <w:rFonts w:ascii="Candara" w:hAnsi="Candara" w:cstheme="minorHAnsi"/>
          <w:noProof/>
        </w:rPr>
        <w:t xml:space="preserve">: </w:t>
      </w:r>
      <w:r w:rsidRPr="00ED357A">
        <w:rPr>
          <w:rFonts w:ascii="Candara" w:hAnsi="Candara" w:cstheme="minorHAnsi"/>
          <w:noProof/>
        </w:rPr>
        <w:t>1.1.1 Zvýšenie miery zhodnocovania odpadov so zameraním na ich prípravu na opätovné použitie a recykláciu a podpora predchádzania vzniku odpadov uvedeného vo výzve na predkladanie ponúk</w:t>
      </w:r>
      <w:r>
        <w:rPr>
          <w:rFonts w:ascii="Candara" w:hAnsi="Candara" w:cstheme="minorHAnsi"/>
          <w:noProof/>
        </w:rPr>
        <w:t>.</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3C75012" w14:textId="513ACFF3"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lastRenderedPageBreak/>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„Zabezpečenie technického vybavenia pre zberný dvor v obci Likavka“ časť </w:t>
      </w:r>
      <w:r w:rsidR="00D90022">
        <w:rPr>
          <w:rFonts w:ascii="Candara" w:hAnsi="Candara" w:cstheme="minorHAnsi"/>
          <w:noProof/>
        </w:rPr>
        <w:t>2</w:t>
      </w:r>
      <w:r w:rsidR="00B568C1">
        <w:rPr>
          <w:rFonts w:ascii="Candara" w:hAnsi="Candara" w:cstheme="minorHAnsi"/>
          <w:noProof/>
        </w:rPr>
        <w:t>:</w:t>
      </w:r>
    </w:p>
    <w:p w14:paraId="605781DA" w14:textId="237A5257" w:rsidR="009E4C59" w:rsidRPr="00D90022" w:rsidRDefault="00D90022" w:rsidP="0042472B">
      <w:pPr>
        <w:pStyle w:val="Default"/>
        <w:widowControl/>
        <w:ind w:left="709"/>
        <w:jc w:val="both"/>
        <w:rPr>
          <w:rFonts w:ascii="Candara" w:hAnsi="Candara" w:cstheme="minorHAnsi"/>
          <w:noProof/>
          <w:color w:val="auto"/>
          <w:sz w:val="20"/>
          <w:szCs w:val="20"/>
          <w:lang w:eastAsia="en-US"/>
        </w:rPr>
      </w:pPr>
      <w:r w:rsidRPr="00D90022">
        <w:rPr>
          <w:rFonts w:ascii="Candara" w:hAnsi="Candara" w:cstheme="minorHAnsi"/>
          <w:noProof/>
          <w:color w:val="auto"/>
          <w:sz w:val="20"/>
          <w:szCs w:val="20"/>
          <w:lang w:eastAsia="en-US"/>
        </w:rPr>
        <w:t xml:space="preserve">Vyklápací náves </w:t>
      </w:r>
      <w:r w:rsidR="0042472B" w:rsidRPr="00D90022">
        <w:rPr>
          <w:rFonts w:ascii="Candara" w:hAnsi="Candara" w:cstheme="minorHAnsi"/>
          <w:noProof/>
          <w:color w:val="auto"/>
          <w:sz w:val="20"/>
          <w:szCs w:val="20"/>
          <w:lang w:eastAsia="en-US"/>
        </w:rPr>
        <w:t>– 1 ks</w:t>
      </w:r>
    </w:p>
    <w:p w14:paraId="181D74B2" w14:textId="77777777" w:rsidR="009E4C59" w:rsidRPr="009E4C59" w:rsidRDefault="009E4C59" w:rsidP="009E4C59">
      <w:pPr>
        <w:pStyle w:val="Default"/>
        <w:widowControl/>
        <w:ind w:left="360"/>
        <w:jc w:val="both"/>
        <w:rPr>
          <w:rFonts w:ascii="Candara" w:hAnsi="Candara" w:cstheme="minorHAnsi"/>
          <w:sz w:val="20"/>
          <w:szCs w:val="20"/>
        </w:rPr>
      </w:pP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77777777"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Pr="009E4C59">
        <w:rPr>
          <w:rFonts w:ascii="Candara" w:hAnsi="Candara" w:cstheme="minorHAnsi"/>
          <w:i/>
          <w:shd w:val="clear" w:color="auto" w:fill="FFFFFF"/>
        </w:rPr>
        <w:t>Zberný dvor Zavar</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74A60B4B" w14:textId="77777777" w:rsidR="009E4C59" w:rsidRPr="00F12D32" w:rsidRDefault="009E4C59" w:rsidP="009E4C59">
      <w:pPr>
        <w:pStyle w:val="Odsekzoznamu"/>
        <w:numPr>
          <w:ilvl w:val="1"/>
          <w:numId w:val="17"/>
        </w:numPr>
        <w:spacing w:after="120"/>
        <w:jc w:val="both"/>
        <w:rPr>
          <w:rFonts w:ascii="Candara" w:hAnsi="Candara" w:cstheme="minorHAnsi"/>
          <w:noProof/>
        </w:rPr>
      </w:pPr>
      <w:r w:rsidRPr="00F12D32">
        <w:rPr>
          <w:rFonts w:ascii="Candara" w:hAnsi="Candara" w:cstheme="minorHAnsi"/>
          <w:bCs/>
          <w:noProof/>
        </w:rPr>
        <w:t>Cena za dodávku predmetu kúpy je stanovená v súlade s ponukou  predávajúceho</w:t>
      </w:r>
      <w:r w:rsidRPr="00F12D32">
        <w:rPr>
          <w:rFonts w:ascii="Candara" w:hAnsi="Candara" w:cstheme="minorHAnsi"/>
          <w:noProof/>
        </w:rPr>
        <w:t xml:space="preserve"> v elektronickej aukcii. Táto je kalkulovaná vrátane DPH. </w:t>
      </w:r>
      <w:r w:rsidRPr="00F12D32">
        <w:rPr>
          <w:rFonts w:ascii="Candara" w:eastAsiaTheme="minorHAnsi" w:hAnsi="Candara" w:cstheme="minorHAnsi"/>
          <w:color w:val="1A1A1A"/>
          <w:lang w:val="en-US"/>
        </w:rPr>
        <w:t>V </w:t>
      </w:r>
      <w:proofErr w:type="spellStart"/>
      <w:r w:rsidRPr="00F12D32">
        <w:rPr>
          <w:rFonts w:ascii="Candara" w:eastAsiaTheme="minorHAnsi" w:hAnsi="Candara" w:cstheme="minorHAnsi"/>
          <w:color w:val="1A1A1A"/>
          <w:lang w:val="en-US"/>
        </w:rPr>
        <w:t>cene</w:t>
      </w:r>
      <w:proofErr w:type="spellEnd"/>
      <w:r w:rsidRPr="00F12D32">
        <w:rPr>
          <w:rFonts w:ascii="Candara" w:eastAsiaTheme="minorHAnsi" w:hAnsi="Candara" w:cstheme="minorHAnsi"/>
          <w:color w:val="1A1A1A"/>
          <w:lang w:val="en-US"/>
        </w:rPr>
        <w:t xml:space="preserve"> je </w:t>
      </w:r>
      <w:proofErr w:type="spellStart"/>
      <w:r w:rsidRPr="00F12D32">
        <w:rPr>
          <w:rFonts w:ascii="Candara" w:eastAsiaTheme="minorHAnsi" w:hAnsi="Candara" w:cstheme="minorHAnsi"/>
          <w:color w:val="1A1A1A"/>
          <w:lang w:val="en-US"/>
        </w:rPr>
        <w:t>zahrnuté</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zaškolenie</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obsluhy</w:t>
      </w:r>
      <w:proofErr w:type="spellEnd"/>
      <w:r w:rsidRPr="00F12D32">
        <w:rPr>
          <w:rFonts w:ascii="Candara" w:eastAsiaTheme="minorHAnsi" w:hAnsi="Candara" w:cstheme="minorHAnsi"/>
          <w:color w:val="1A1A1A"/>
          <w:lang w:val="en-US"/>
        </w:rPr>
        <w:t xml:space="preserve"> v </w:t>
      </w:r>
      <w:proofErr w:type="spellStart"/>
      <w:r w:rsidRPr="00F12D32">
        <w:rPr>
          <w:rFonts w:ascii="Candara" w:eastAsiaTheme="minorHAnsi" w:hAnsi="Candara" w:cstheme="minorHAnsi"/>
          <w:color w:val="1A1A1A"/>
          <w:lang w:val="en-US"/>
        </w:rPr>
        <w:t>sídle</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kupujúceho</w:t>
      </w:r>
      <w:proofErr w:type="spellEnd"/>
      <w:r w:rsidRPr="00F12D32">
        <w:rPr>
          <w:rFonts w:ascii="Candara" w:eastAsiaTheme="minorHAnsi" w:hAnsi="Candara" w:cstheme="minorHAnsi"/>
          <w:color w:val="1A1A1A"/>
          <w:lang w:val="en-US"/>
        </w:rPr>
        <w:t xml:space="preserve"> </w:t>
      </w:r>
      <w:proofErr w:type="gramStart"/>
      <w:r w:rsidRPr="00F12D32">
        <w:rPr>
          <w:rFonts w:ascii="Candara" w:eastAsiaTheme="minorHAnsi" w:hAnsi="Candara" w:cstheme="minorHAnsi"/>
          <w:color w:val="1A1A1A"/>
          <w:lang w:val="en-US"/>
        </w:rPr>
        <w:t>a</w:t>
      </w:r>
      <w:proofErr w:type="gram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ostatné</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náklady</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súvisiace</w:t>
      </w:r>
      <w:proofErr w:type="spellEnd"/>
      <w:r w:rsidRPr="00F12D32">
        <w:rPr>
          <w:rFonts w:ascii="Candara" w:eastAsiaTheme="minorHAnsi" w:hAnsi="Candara" w:cstheme="minorHAnsi"/>
          <w:color w:val="1A1A1A"/>
          <w:lang w:val="en-US"/>
        </w:rPr>
        <w:t xml:space="preserve"> s </w:t>
      </w:r>
      <w:proofErr w:type="spellStart"/>
      <w:r w:rsidRPr="00F12D32">
        <w:rPr>
          <w:rFonts w:ascii="Candara" w:eastAsiaTheme="minorHAnsi" w:hAnsi="Candara" w:cstheme="minorHAnsi"/>
          <w:color w:val="1A1A1A"/>
          <w:lang w:val="en-US"/>
        </w:rPr>
        <w:t>dodaním</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predmetu</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kúpy</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vrátane</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prihlásenia</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na</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dopravnom</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inšpektoráte</w:t>
      </w:r>
      <w:proofErr w:type="spellEnd"/>
      <w:r w:rsidRPr="00F12D32">
        <w:rPr>
          <w:rFonts w:ascii="Candara" w:eastAsiaTheme="minorHAnsi" w:hAnsi="Candara" w:cstheme="minorHAnsi"/>
          <w:color w:val="1A1A1A"/>
          <w:lang w:val="en-US"/>
        </w:rPr>
        <w:t xml:space="preserve"> s </w:t>
      </w:r>
      <w:proofErr w:type="spellStart"/>
      <w:r w:rsidRPr="00F12D32">
        <w:rPr>
          <w:rFonts w:ascii="Candara" w:eastAsiaTheme="minorHAnsi" w:hAnsi="Candara" w:cstheme="minorHAnsi"/>
          <w:color w:val="1A1A1A"/>
          <w:lang w:val="en-US"/>
        </w:rPr>
        <w:t>pridelením</w:t>
      </w:r>
      <w:proofErr w:type="spellEnd"/>
      <w:r w:rsidRPr="00F12D32">
        <w:rPr>
          <w:rFonts w:ascii="Candara" w:eastAsiaTheme="minorHAnsi" w:hAnsi="Candara" w:cstheme="minorHAnsi"/>
          <w:color w:val="1A1A1A"/>
          <w:lang w:val="en-US"/>
        </w:rPr>
        <w:t xml:space="preserve"> EČV a </w:t>
      </w:r>
      <w:proofErr w:type="spellStart"/>
      <w:r w:rsidRPr="00F12D32">
        <w:rPr>
          <w:rFonts w:ascii="Candara" w:eastAsiaTheme="minorHAnsi" w:hAnsi="Candara" w:cstheme="minorHAnsi"/>
          <w:color w:val="1A1A1A"/>
          <w:lang w:val="en-US"/>
        </w:rPr>
        <w:t>dodania</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písomnej</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dokumentácie</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patriacej</w:t>
      </w:r>
      <w:proofErr w:type="spellEnd"/>
      <w:r w:rsidRPr="00F12D32">
        <w:rPr>
          <w:rFonts w:ascii="Candara" w:eastAsiaTheme="minorHAnsi" w:hAnsi="Candara" w:cstheme="minorHAnsi"/>
          <w:color w:val="1A1A1A"/>
          <w:lang w:val="en-US"/>
        </w:rPr>
        <w:t xml:space="preserve"> k </w:t>
      </w:r>
      <w:proofErr w:type="spellStart"/>
      <w:r w:rsidRPr="00F12D32">
        <w:rPr>
          <w:rFonts w:ascii="Candara" w:eastAsiaTheme="minorHAnsi" w:hAnsi="Candara" w:cstheme="minorHAnsi"/>
          <w:color w:val="1A1A1A"/>
          <w:lang w:val="en-US"/>
        </w:rPr>
        <w:t>predmetu</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kúpy</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preberací</w:t>
      </w:r>
      <w:proofErr w:type="spellEnd"/>
      <w:r w:rsidRPr="00F12D32">
        <w:rPr>
          <w:rFonts w:ascii="Candara" w:eastAsiaTheme="minorHAnsi" w:hAnsi="Candara" w:cstheme="minorHAnsi"/>
          <w:color w:val="1A1A1A"/>
          <w:lang w:val="en-US"/>
        </w:rPr>
        <w:t xml:space="preserve"> - </w:t>
      </w:r>
      <w:proofErr w:type="spellStart"/>
      <w:r w:rsidRPr="00F12D32">
        <w:rPr>
          <w:rFonts w:ascii="Candara" w:eastAsiaTheme="minorHAnsi" w:hAnsi="Candara" w:cstheme="minorHAnsi"/>
          <w:color w:val="1A1A1A"/>
          <w:lang w:val="en-US"/>
        </w:rPr>
        <w:t>odovzdávajúci</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protokol</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osvedčenie</w:t>
      </w:r>
      <w:proofErr w:type="spellEnd"/>
      <w:r w:rsidRPr="00F12D32">
        <w:rPr>
          <w:rFonts w:ascii="Candara" w:eastAsiaTheme="minorHAnsi" w:hAnsi="Candara" w:cstheme="minorHAnsi"/>
          <w:color w:val="1A1A1A"/>
          <w:lang w:val="en-US"/>
        </w:rPr>
        <w:t xml:space="preserve"> o </w:t>
      </w:r>
      <w:proofErr w:type="spellStart"/>
      <w:r w:rsidRPr="00F12D32">
        <w:rPr>
          <w:rFonts w:ascii="Candara" w:eastAsiaTheme="minorHAnsi" w:hAnsi="Candara" w:cstheme="minorHAnsi"/>
          <w:color w:val="1A1A1A"/>
          <w:lang w:val="en-US"/>
        </w:rPr>
        <w:t>evidencii</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vozidla</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technické</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osvedčenie</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motatných</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technických</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jednotiek</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záznam</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zaškolenia</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obsluhy</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servisná</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knižka</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návod</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na</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obsluhu</w:t>
      </w:r>
      <w:proofErr w:type="spellEnd"/>
      <w:r w:rsidRPr="00F12D32">
        <w:rPr>
          <w:rFonts w:ascii="Candara" w:eastAsiaTheme="minorHAnsi" w:hAnsi="Candara" w:cstheme="minorHAnsi"/>
          <w:color w:val="1A1A1A"/>
          <w:lang w:val="en-US"/>
        </w:rPr>
        <w:t xml:space="preserve"> a </w:t>
      </w:r>
      <w:proofErr w:type="spellStart"/>
      <w:r w:rsidRPr="00F12D32">
        <w:rPr>
          <w:rFonts w:ascii="Candara" w:eastAsiaTheme="minorHAnsi" w:hAnsi="Candara" w:cstheme="minorHAnsi"/>
          <w:color w:val="1A1A1A"/>
          <w:lang w:val="en-US"/>
        </w:rPr>
        <w:t>údržbu</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katalóg</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náhradných</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dielov</w:t>
      </w:r>
      <w:proofErr w:type="spellEnd"/>
      <w:r w:rsidRPr="00F12D32">
        <w:rPr>
          <w:rFonts w:ascii="Candara" w:eastAsiaTheme="minorHAnsi" w:hAnsi="Candara" w:cstheme="minorHAnsi"/>
          <w:color w:val="1A1A1A"/>
          <w:lang w:val="en-US"/>
        </w:rPr>
        <w:t>)</w:t>
      </w:r>
      <w:r w:rsidR="00757287" w:rsidRPr="00F12D32">
        <w:rPr>
          <w:rFonts w:ascii="Candara" w:eastAsiaTheme="minorHAnsi" w:hAnsi="Candara" w:cstheme="minorHAnsi"/>
          <w:color w:val="1A1A1A"/>
          <w:lang w:val="en-US"/>
        </w:rPr>
        <w:t>*</w:t>
      </w:r>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Písomná</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dokumentácia</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bude</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vyhotovená</w:t>
      </w:r>
      <w:proofErr w:type="spellEnd"/>
      <w:r w:rsidRPr="00F12D32">
        <w:rPr>
          <w:rFonts w:ascii="Candara" w:eastAsiaTheme="minorHAnsi" w:hAnsi="Candara" w:cstheme="minorHAnsi"/>
          <w:color w:val="1A1A1A"/>
          <w:lang w:val="en-US"/>
        </w:rPr>
        <w:t xml:space="preserve"> v </w:t>
      </w:r>
      <w:proofErr w:type="spellStart"/>
      <w:r w:rsidRPr="00F12D32">
        <w:rPr>
          <w:rFonts w:ascii="Candara" w:eastAsiaTheme="minorHAnsi" w:hAnsi="Candara" w:cstheme="minorHAnsi"/>
          <w:color w:val="1A1A1A"/>
          <w:lang w:val="en-US"/>
        </w:rPr>
        <w:t>jazyku</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slovenskom</w:t>
      </w:r>
      <w:proofErr w:type="spellEnd"/>
      <w:r w:rsidRPr="00F12D32">
        <w:rPr>
          <w:rFonts w:ascii="Candara" w:eastAsiaTheme="minorHAnsi" w:hAnsi="Candara" w:cstheme="minorHAnsi"/>
          <w:color w:val="1A1A1A"/>
          <w:lang w:val="en-US"/>
        </w:rPr>
        <w:t xml:space="preserve">. Na </w:t>
      </w:r>
      <w:proofErr w:type="spellStart"/>
      <w:r w:rsidRPr="00F12D32">
        <w:rPr>
          <w:rFonts w:ascii="Candara" w:eastAsiaTheme="minorHAnsi" w:hAnsi="Candara" w:cstheme="minorHAnsi"/>
          <w:color w:val="1A1A1A"/>
          <w:lang w:val="en-US"/>
        </w:rPr>
        <w:t>tento</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účel</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sa</w:t>
      </w:r>
      <w:proofErr w:type="spellEnd"/>
      <w:r w:rsidRPr="00F12D32">
        <w:rPr>
          <w:rFonts w:ascii="Candara" w:eastAsiaTheme="minorHAnsi" w:hAnsi="Candara" w:cstheme="minorHAnsi"/>
          <w:color w:val="1A1A1A"/>
          <w:lang w:val="en-US"/>
        </w:rPr>
        <w:t xml:space="preserve"> za </w:t>
      </w:r>
      <w:proofErr w:type="spellStart"/>
      <w:r w:rsidRPr="00F12D32">
        <w:rPr>
          <w:rFonts w:ascii="Candara" w:eastAsiaTheme="minorHAnsi" w:hAnsi="Candara" w:cstheme="minorHAnsi"/>
          <w:color w:val="1A1A1A"/>
          <w:lang w:val="en-US"/>
        </w:rPr>
        <w:t>dostatočný</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považuje</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aj</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dokument</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vyhotovený</w:t>
      </w:r>
      <w:proofErr w:type="spellEnd"/>
      <w:r w:rsidRPr="00F12D32">
        <w:rPr>
          <w:rFonts w:ascii="Candara" w:eastAsiaTheme="minorHAnsi" w:hAnsi="Candara" w:cstheme="minorHAnsi"/>
          <w:color w:val="1A1A1A"/>
          <w:lang w:val="en-US"/>
        </w:rPr>
        <w:t xml:space="preserve"> v </w:t>
      </w:r>
      <w:proofErr w:type="spellStart"/>
      <w:r w:rsidRPr="00F12D32">
        <w:rPr>
          <w:rFonts w:ascii="Candara" w:eastAsiaTheme="minorHAnsi" w:hAnsi="Candara" w:cstheme="minorHAnsi"/>
          <w:color w:val="1A1A1A"/>
          <w:lang w:val="en-US"/>
        </w:rPr>
        <w:t>jazyku</w:t>
      </w:r>
      <w:proofErr w:type="spellEnd"/>
      <w:r w:rsidRPr="00F12D32">
        <w:rPr>
          <w:rFonts w:ascii="Candara" w:eastAsiaTheme="minorHAnsi" w:hAnsi="Candara" w:cstheme="minorHAnsi"/>
          <w:color w:val="1A1A1A"/>
          <w:lang w:val="en-US"/>
        </w:rPr>
        <w:t xml:space="preserve"> </w:t>
      </w:r>
      <w:proofErr w:type="spellStart"/>
      <w:r w:rsidRPr="00F12D32">
        <w:rPr>
          <w:rFonts w:ascii="Candara" w:eastAsiaTheme="minorHAnsi" w:hAnsi="Candara" w:cstheme="minorHAnsi"/>
          <w:color w:val="1A1A1A"/>
          <w:lang w:val="en-US"/>
        </w:rPr>
        <w:t>českom</w:t>
      </w:r>
      <w:proofErr w:type="spellEnd"/>
      <w:r w:rsidRPr="00F12D32">
        <w:rPr>
          <w:rFonts w:ascii="Candara" w:eastAsiaTheme="minorHAnsi" w:hAnsi="Candara" w:cstheme="minorHAnsi"/>
          <w:color w:val="1A1A1A"/>
          <w:lang w:val="en-US"/>
        </w:rPr>
        <w:t>. </w:t>
      </w:r>
    </w:p>
    <w:p w14:paraId="210C454B"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F12D32">
        <w:rPr>
          <w:rFonts w:ascii="Candara" w:hAnsi="Candara" w:cstheme="minorHAnsi"/>
          <w:bCs/>
          <w:noProof/>
        </w:rPr>
        <w:t>Prijaté jednotkové ceny</w:t>
      </w:r>
      <w:r w:rsidRPr="00F12D32">
        <w:rPr>
          <w:rFonts w:ascii="Candara" w:hAnsi="Candara" w:cstheme="minorHAnsi"/>
          <w:noProof/>
        </w:rPr>
        <w:t xml:space="preserve"> sú záväzné, stanovené v súlade s ponukou</w:t>
      </w:r>
      <w:r w:rsidRPr="009E4C59">
        <w:rPr>
          <w:rFonts w:ascii="Candara" w:hAnsi="Candara" w:cstheme="minorHAnsi"/>
          <w:noProof/>
        </w:rPr>
        <w:t xml:space="preserve"> predávajúceho v elektronickej aukcii a pevné počas trvania zmluvy.</w:t>
      </w:r>
    </w:p>
    <w:p w14:paraId="6ECB0A43" w14:textId="77777777" w:rsidR="009E4C59" w:rsidRPr="009E4C59" w:rsidRDefault="009E4C59" w:rsidP="009E4C59">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lastRenderedPageBreak/>
        <w:t>5.1.</w:t>
      </w:r>
      <w:r w:rsidRPr="009E4C59">
        <w:rPr>
          <w:rFonts w:ascii="Candara" w:hAnsi="Candara" w:cstheme="minorHAnsi"/>
          <w:noProof/>
        </w:rPr>
        <w:tab/>
        <w:t xml:space="preserve">Predmet kúpnej zmluvy sa zaväzuje predávajúci dodať kupujúcemu najneskôr </w:t>
      </w:r>
      <w:r w:rsidRPr="009E4C59">
        <w:rPr>
          <w:rFonts w:ascii="Candara" w:hAnsi="Candara" w:cstheme="minorHAnsi"/>
        </w:rPr>
        <w:t>do 6 mesiacov odo dňa nadobudnutia účinnosti predmetnej kúpnej zmluvy v zmysle § 47a ods. 1 zákona č. 40/1964 Zb. Občianskeho zákonníka v znení neskorších predpisov vo väzbe k ustanoveniu § 45 zákona o verejnom obstarávaní.</w:t>
      </w:r>
      <w:r w:rsidRPr="009E4C59">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77777777"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zhotoviteľovi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11BDF90E"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nesplnenia povinnosti podľa Článku X. bod 10.3 a 10.4,</w:t>
      </w:r>
      <w:r w:rsidRPr="009E4C59">
        <w:rPr>
          <w:rFonts w:ascii="Candara" w:hAnsi="Candara" w:cstheme="minorHAnsi"/>
        </w:rPr>
        <w:t xml:space="preserve"> predávajúci zaplatí zmluvnú pokutu 500,- € za každé porušenie tejto povinnosti. </w:t>
      </w:r>
      <w:r w:rsidRPr="009E4C59">
        <w:rPr>
          <w:rFonts w:ascii="Candara" w:hAnsi="Candara" w:cstheme="minorHAnsi"/>
          <w:noProof/>
        </w:rPr>
        <w:t xml:space="preserve">V prípade akejkoľvek nespôsobilosti Predávajúceho plniť si svoje zmluvné záväzky vyplývajúce z tejto zmluvy v zmysle Článku III., V. a VII. . alebo ak nastane stav, že Predávajúci nebude schopný splniť predmet zmluvy vôbec, bude táto situácia dôvodom na odstúpenie od zmluvy s tým, že Kupujúcemu vznikne právo požadovať od Predávajúceho uhradenie zmluvnej pokuty vo výške 50 % z kúpnej ceny uvedenej v Článku IV., bod 4.1. Zaplatenie zmluvnej pokuty nemá vplyv na event. náhradu škody, vzniknutej v priamej súvislosti s omeškaním Predávajúceho. </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6B0718C8" w14:textId="77777777" w:rsidR="009E4C59" w:rsidRPr="009E4C59" w:rsidRDefault="009E4C59" w:rsidP="009E4C59">
      <w:pPr>
        <w:numPr>
          <w:ilvl w:val="1"/>
          <w:numId w:val="15"/>
        </w:numPr>
        <w:tabs>
          <w:tab w:val="left" w:pos="540"/>
        </w:tabs>
        <w:jc w:val="both"/>
        <w:rPr>
          <w:rFonts w:ascii="Candara" w:hAnsi="Candara" w:cstheme="minorHAnsi"/>
          <w:bCs/>
          <w:noProof/>
        </w:rPr>
      </w:pPr>
      <w:r w:rsidRPr="009E4C59">
        <w:rPr>
          <w:rFonts w:ascii="Candara" w:hAnsi="Candara" w:cstheme="minorHAnsi"/>
          <w:noProof/>
        </w:rPr>
        <w:t>Prípade ak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50 % z kúpnej ceny uvedenej v Článku IV., bod 4.1. Zaplatenie zmluvnej pokuty nemá vplyv na event. náhradu škody, vzniknutej v priamej súvislosti s omeškaním Predávajúceho.</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lastRenderedPageBreak/>
        <w:t>ZÁRUČNÁ DOBA A ZÁRUČNÉ PODMIENKY</w:t>
      </w:r>
    </w:p>
    <w:p w14:paraId="32F8D99D" w14:textId="7777777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Záručná doba na predmet kúpy, resp. časť predmetu kúpy je 36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33784F80"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2 tejto Zmluvy. Subdodávatelia uvedení v Zozname subdodávateľov musia spĺňať podmienky podľa 32 ods. 1  zákona č. 343/2015 Z. z. o verejnom obstarávaní a o zmene a doplnení niektorých (ďalej len Zákon o VO). Doklady preukazujúce splnenie § 32 ods. 1 Zákona o VO subdodávateľmi Zhotoviteľ predloží ako prílohu Zoznamu subdodávateľov.</w:t>
      </w:r>
    </w:p>
    <w:p w14:paraId="298EB3FF"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Zhotoviteľ je zároveň povinný do piatich pracovných dní odo dňa uzatvorenia zmluvy s novým  subdodávateľom predložiť Objednávateľovi aktualizované znenie Prílohy č. 2 tejto Zmluvy. Zhotoviteľ zároveň predloží Objednávateľovi doklady preukazujúce splnenie podmienky podľa § 32 ods. 1 Zákona o VO za tohto nového subdodávateľa. V prípade, že subdodávateľ nebude spĺňať podmienky podľa § 32 ods. 1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1E9C5204"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13.4.</w:t>
      </w:r>
      <w:r w:rsidRPr="009E4C59">
        <w:rPr>
          <w:rFonts w:ascii="Candara" w:hAnsi="Candara" w:cstheme="minorHAnsi"/>
          <w:noProof/>
        </w:rPr>
        <w:tab/>
        <w:t>Táto zmluva nadobúda platnosť dňom jej podpísania oprávnenými zástupcami oboch zmluvných strán a účinnosť dňom nasledujúcim po dni kumulatívneho splnenia nasledovnej podmienky t. j. schválenie zákazky v rámci kontroly VO, t.j. doručenie správy z kontroly VO prijímateľovi.</w:t>
      </w:r>
    </w:p>
    <w:p w14:paraId="6E03284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lastRenderedPageBreak/>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r>
      <w:r w:rsidRPr="00D90022">
        <w:rPr>
          <w:rFonts w:ascii="Candara" w:hAnsi="Candara" w:cstheme="minorHAnsi"/>
          <w:noProof/>
          <w:highlight w:val="yellow"/>
        </w:rPr>
        <w:t>Informácie o projekte, na základe ktorého je spolufinancovaná táto zmluva: Názov projektu:</w:t>
      </w:r>
      <w:r w:rsidRPr="00D90022">
        <w:rPr>
          <w:rFonts w:ascii="Candara" w:hAnsi="Candara" w:cstheme="minorHAnsi"/>
          <w:i/>
          <w:highlight w:val="yellow"/>
          <w:shd w:val="clear" w:color="auto" w:fill="FFFFFF"/>
        </w:rPr>
        <w:t xml:space="preserve"> Zabezpečenie technického </w:t>
      </w:r>
      <w:r w:rsidRPr="00D90022">
        <w:rPr>
          <w:rFonts w:ascii="Candara" w:hAnsi="Candara" w:cstheme="minorHAnsi"/>
          <w:i/>
          <w:highlight w:val="yellow"/>
        </w:rPr>
        <w:t>vybavenia pre triedený zber komunálnych odpadov.</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pPr w:leftFromText="141" w:rightFromText="141" w:vertAnchor="text" w:tblpXSpec="center" w:tblpY="1"/>
        <w:tblOverlap w:val="never"/>
        <w:tblW w:w="15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66"/>
        <w:gridCol w:w="4110"/>
        <w:gridCol w:w="4155"/>
      </w:tblGrid>
      <w:tr w:rsidR="009E4C59" w:rsidRPr="009E4C59" w14:paraId="6FB32347" w14:textId="77777777" w:rsidTr="0042472B">
        <w:trPr>
          <w:trHeight w:val="280"/>
          <w:jc w:val="center"/>
        </w:trPr>
        <w:tc>
          <w:tcPr>
            <w:tcW w:w="15631" w:type="dxa"/>
            <w:gridSpan w:val="3"/>
            <w:shd w:val="clear" w:color="auto" w:fill="D9D9D9" w:themeFill="background1" w:themeFillShade="D9"/>
            <w:hideMark/>
          </w:tcPr>
          <w:p w14:paraId="3B84C62B" w14:textId="7FCEA4AB" w:rsidR="009E4C59" w:rsidRPr="009E4C59" w:rsidRDefault="009E4C59" w:rsidP="00BA0F29">
            <w:pPr>
              <w:jc w:val="center"/>
              <w:rPr>
                <w:rFonts w:ascii="Candara" w:hAnsi="Candara" w:cstheme="minorHAnsi"/>
                <w:b/>
              </w:rPr>
            </w:pPr>
            <w:r w:rsidRPr="009E4C59">
              <w:rPr>
                <w:rFonts w:ascii="Candara" w:hAnsi="Candara" w:cstheme="minorHAnsi"/>
                <w:b/>
              </w:rPr>
              <w:t xml:space="preserve">Zabezpečenie technického vybavenia pre Zberný dvor Zavar </w:t>
            </w:r>
            <w:r w:rsidR="0042472B">
              <w:rPr>
                <w:rFonts w:ascii="Candara" w:hAnsi="Candara" w:cstheme="minorHAnsi"/>
                <w:b/>
              </w:rPr>
              <w:t xml:space="preserve">– </w:t>
            </w:r>
            <w:r w:rsidR="00D90022" w:rsidRPr="00D90022">
              <w:rPr>
                <w:rFonts w:ascii="Candara" w:hAnsi="Candara" w:cstheme="minorHAnsi"/>
                <w:b/>
              </w:rPr>
              <w:t xml:space="preserve"> Vyklápací náves</w:t>
            </w:r>
          </w:p>
        </w:tc>
      </w:tr>
      <w:tr w:rsidR="009E4C59" w:rsidRPr="009E4C59" w14:paraId="1A188098" w14:textId="77777777" w:rsidTr="00BA0F29">
        <w:trPr>
          <w:trHeight w:val="315"/>
          <w:jc w:val="center"/>
        </w:trPr>
        <w:tc>
          <w:tcPr>
            <w:tcW w:w="7366" w:type="dxa"/>
            <w:shd w:val="clear" w:color="auto" w:fill="D9D9D9" w:themeFill="background1" w:themeFillShade="D9"/>
            <w:hideMark/>
          </w:tcPr>
          <w:p w14:paraId="465D5BD2"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Požadované technické vlastnosti</w:t>
            </w:r>
          </w:p>
        </w:tc>
        <w:tc>
          <w:tcPr>
            <w:tcW w:w="4110" w:type="dxa"/>
            <w:shd w:val="clear" w:color="auto" w:fill="D9D9D9" w:themeFill="background1" w:themeFillShade="D9"/>
            <w:hideMark/>
          </w:tcPr>
          <w:p w14:paraId="0698590A" w14:textId="77777777" w:rsidR="009E4C59" w:rsidRPr="009E4C59" w:rsidRDefault="009E4C59" w:rsidP="00BA0F29">
            <w:pPr>
              <w:jc w:val="center"/>
              <w:rPr>
                <w:rFonts w:ascii="Candara" w:hAnsi="Candara" w:cstheme="minorHAnsi"/>
                <w:b/>
              </w:rPr>
            </w:pPr>
            <w:r w:rsidRPr="009E4C59">
              <w:rPr>
                <w:rFonts w:ascii="Candara" w:hAnsi="Candara" w:cstheme="minorHAnsi"/>
                <w:b/>
              </w:rPr>
              <w:t>Hodnota požadovaná verejným obstarávateľom </w:t>
            </w:r>
          </w:p>
        </w:tc>
        <w:tc>
          <w:tcPr>
            <w:tcW w:w="4155" w:type="dxa"/>
            <w:shd w:val="clear" w:color="auto" w:fill="D9D9D9" w:themeFill="background1" w:themeFillShade="D9"/>
            <w:hideMark/>
          </w:tcPr>
          <w:p w14:paraId="1D9C8EA1" w14:textId="77777777" w:rsidR="009E4C59" w:rsidRPr="009E4C59" w:rsidRDefault="009E4C59" w:rsidP="00BA0F29">
            <w:pPr>
              <w:jc w:val="center"/>
              <w:rPr>
                <w:rFonts w:ascii="Candara" w:hAnsi="Candara" w:cstheme="minorHAnsi"/>
                <w:b/>
                <w:bCs/>
              </w:rPr>
            </w:pPr>
            <w:r w:rsidRPr="009E4C59">
              <w:rPr>
                <w:rFonts w:ascii="Candara" w:hAnsi="Candara" w:cstheme="minorHAnsi"/>
                <w:b/>
                <w:bCs/>
              </w:rPr>
              <w:t>Hodnota ponúkaná uchádzačom</w:t>
            </w:r>
          </w:p>
        </w:tc>
      </w:tr>
      <w:tr w:rsidR="0042472B" w:rsidRPr="00644040" w14:paraId="529505C9" w14:textId="77777777" w:rsidTr="00BA0F29">
        <w:trPr>
          <w:trHeight w:val="315"/>
          <w:jc w:val="center"/>
        </w:trPr>
        <w:tc>
          <w:tcPr>
            <w:tcW w:w="15631" w:type="dxa"/>
            <w:gridSpan w:val="3"/>
            <w:shd w:val="clear" w:color="auto" w:fill="FFFF00"/>
          </w:tcPr>
          <w:p w14:paraId="390A1359" w14:textId="77777777" w:rsidR="0042472B" w:rsidRPr="00117931" w:rsidRDefault="0042472B" w:rsidP="00BA0F29">
            <w:pPr>
              <w:pStyle w:val="Opis1"/>
              <w:numPr>
                <w:ilvl w:val="0"/>
                <w:numId w:val="0"/>
              </w:numPr>
              <w:ind w:left="351"/>
              <w:rPr>
                <w:rFonts w:ascii="Candara" w:hAnsi="Candara" w:cstheme="minorHAnsi"/>
                <w:sz w:val="20"/>
                <w:szCs w:val="20"/>
                <w:u w:val="none"/>
              </w:rPr>
            </w:pPr>
            <w:r w:rsidRPr="00117931">
              <w:rPr>
                <w:rFonts w:ascii="Candara" w:hAnsi="Candara" w:cstheme="minorHAnsi"/>
                <w:bCs/>
                <w:sz w:val="20"/>
                <w:szCs w:val="20"/>
                <w:u w:val="none"/>
              </w:rPr>
              <w:t>ČASŤ 2</w:t>
            </w:r>
          </w:p>
        </w:tc>
      </w:tr>
      <w:tr w:rsidR="0042472B" w:rsidRPr="00644040" w14:paraId="194C606C" w14:textId="77777777" w:rsidTr="00BA0F29">
        <w:trPr>
          <w:trHeight w:val="315"/>
          <w:jc w:val="center"/>
        </w:trPr>
        <w:tc>
          <w:tcPr>
            <w:tcW w:w="15631" w:type="dxa"/>
            <w:gridSpan w:val="3"/>
            <w:shd w:val="clear" w:color="auto" w:fill="D9D9D9" w:themeFill="background1" w:themeFillShade="D9"/>
          </w:tcPr>
          <w:p w14:paraId="3A0BE2A9" w14:textId="2EFFC4B3" w:rsidR="0042472B" w:rsidRPr="00117931" w:rsidRDefault="00D90022" w:rsidP="0042472B">
            <w:pPr>
              <w:pStyle w:val="Opis1"/>
              <w:numPr>
                <w:ilvl w:val="0"/>
                <w:numId w:val="27"/>
              </w:numPr>
              <w:ind w:left="351"/>
              <w:rPr>
                <w:rFonts w:ascii="Candara" w:hAnsi="Candara" w:cstheme="minorHAnsi"/>
                <w:sz w:val="20"/>
                <w:szCs w:val="20"/>
              </w:rPr>
            </w:pPr>
            <w:r w:rsidRPr="00D90022">
              <w:rPr>
                <w:rFonts w:ascii="Candara" w:hAnsi="Candara" w:cstheme="minorHAnsi"/>
                <w:sz w:val="20"/>
                <w:szCs w:val="20"/>
              </w:rPr>
              <w:t>Vyklápací náves</w:t>
            </w:r>
            <w:r w:rsidRPr="00117931">
              <w:rPr>
                <w:rFonts w:ascii="Candara" w:hAnsi="Candara" w:cstheme="minorHAnsi"/>
                <w:sz w:val="20"/>
                <w:szCs w:val="20"/>
              </w:rPr>
              <w:t xml:space="preserve"> </w:t>
            </w:r>
            <w:r w:rsidR="0042472B" w:rsidRPr="00117931">
              <w:rPr>
                <w:rFonts w:ascii="Candara" w:hAnsi="Candara" w:cstheme="minorHAnsi"/>
                <w:sz w:val="20"/>
                <w:szCs w:val="20"/>
              </w:rPr>
              <w:t>(uviesť názov a výrobcu, príp. typ )</w:t>
            </w:r>
          </w:p>
          <w:p w14:paraId="750343C9" w14:textId="77777777" w:rsidR="0042472B" w:rsidRPr="00644040" w:rsidRDefault="0042472B" w:rsidP="00BA0F29">
            <w:pPr>
              <w:ind w:left="351"/>
              <w:rPr>
                <w:rFonts w:ascii="Candara" w:hAnsi="Candara" w:cstheme="minorHAnsi"/>
              </w:rPr>
            </w:pPr>
          </w:p>
        </w:tc>
      </w:tr>
      <w:tr w:rsidR="0042472B" w:rsidRPr="00644040" w14:paraId="3E1CF1DB" w14:textId="77777777" w:rsidTr="0042472B">
        <w:trPr>
          <w:trHeight w:val="1225"/>
          <w:jc w:val="center"/>
        </w:trPr>
        <w:tc>
          <w:tcPr>
            <w:tcW w:w="7366" w:type="dxa"/>
            <w:shd w:val="clear" w:color="auto" w:fill="auto"/>
          </w:tcPr>
          <w:p w14:paraId="221BC004" w14:textId="77777777" w:rsidR="0042472B" w:rsidRPr="00644040" w:rsidRDefault="0042472B" w:rsidP="0042472B">
            <w:pPr>
              <w:jc w:val="both"/>
              <w:rPr>
                <w:rFonts w:ascii="Candara" w:hAnsi="Candara" w:cstheme="minorHAnsi"/>
              </w:rPr>
            </w:pPr>
            <w:r w:rsidRPr="00DF0FC1">
              <w:rPr>
                <w:rFonts w:ascii="Candara" w:hAnsi="Candara" w:cstheme="minorHAnsi"/>
                <w:highlight w:val="yellow"/>
              </w:rPr>
              <w:t>Splnenie podmienok „Zákona O premávke na pozemných komunikáciách“, platného v čase vyhodnotenia verejnej súťaže a v čase predpokladanej realizácie dodávky v znení neskorších predpisov umožňujúcich jeho riadne prevádzkovanie na pozemných komunikáciách vrátane vyhotovenia technického preukazu podmieňujúceho vydanie EČV</w:t>
            </w:r>
          </w:p>
        </w:tc>
        <w:tc>
          <w:tcPr>
            <w:tcW w:w="4110" w:type="dxa"/>
            <w:shd w:val="clear" w:color="auto" w:fill="auto"/>
          </w:tcPr>
          <w:p w14:paraId="1DA21672" w14:textId="4FC4B2D8" w:rsidR="0042472B" w:rsidRPr="00644040" w:rsidRDefault="0042472B" w:rsidP="00BA0F29">
            <w:pPr>
              <w:jc w:val="center"/>
              <w:rPr>
                <w:rFonts w:ascii="Candara" w:hAnsi="Candara" w:cstheme="minorHAnsi"/>
              </w:rPr>
            </w:pPr>
          </w:p>
        </w:tc>
        <w:tc>
          <w:tcPr>
            <w:tcW w:w="4155" w:type="dxa"/>
            <w:shd w:val="clear" w:color="auto" w:fill="auto"/>
          </w:tcPr>
          <w:p w14:paraId="6E43E7B5" w14:textId="77777777" w:rsidR="0042472B" w:rsidRPr="00644040" w:rsidRDefault="0042472B" w:rsidP="00BA0F29">
            <w:pPr>
              <w:rPr>
                <w:rFonts w:ascii="Candara" w:hAnsi="Candara" w:cstheme="minorHAnsi"/>
              </w:rPr>
            </w:pPr>
          </w:p>
        </w:tc>
      </w:tr>
      <w:tr w:rsidR="00DF0FC1" w:rsidRPr="00644040" w14:paraId="2A1EBED9" w14:textId="77777777" w:rsidTr="009D27FE">
        <w:trPr>
          <w:trHeight w:val="315"/>
          <w:jc w:val="center"/>
        </w:trPr>
        <w:tc>
          <w:tcPr>
            <w:tcW w:w="7366" w:type="dxa"/>
            <w:shd w:val="clear" w:color="auto" w:fill="auto"/>
            <w:vAlign w:val="center"/>
          </w:tcPr>
          <w:p w14:paraId="777735FF" w14:textId="6330558C" w:rsidR="00DF0FC1" w:rsidRPr="00644040" w:rsidRDefault="00DF0FC1" w:rsidP="00DF0FC1">
            <w:pPr>
              <w:rPr>
                <w:rFonts w:ascii="Candara" w:hAnsi="Candara" w:cstheme="minorHAnsi"/>
                <w:bCs/>
              </w:rPr>
            </w:pPr>
            <w:r>
              <w:rPr>
                <w:rFonts w:ascii="Cambria" w:hAnsi="Cambria" w:cs="Calibri"/>
              </w:rPr>
              <w:t>3 stranne sklopný</w:t>
            </w:r>
          </w:p>
        </w:tc>
        <w:tc>
          <w:tcPr>
            <w:tcW w:w="4110" w:type="dxa"/>
            <w:shd w:val="clear" w:color="auto" w:fill="auto"/>
          </w:tcPr>
          <w:p w14:paraId="335F76DE" w14:textId="10B7E270" w:rsidR="00DF0FC1" w:rsidRPr="00644040" w:rsidRDefault="00DF0FC1" w:rsidP="00DF0FC1">
            <w:pPr>
              <w:jc w:val="center"/>
              <w:rPr>
                <w:rFonts w:ascii="Candara" w:hAnsi="Candara" w:cstheme="minorHAnsi"/>
              </w:rPr>
            </w:pPr>
            <w:r>
              <w:rPr>
                <w:rFonts w:ascii="Candara" w:hAnsi="Candara" w:cstheme="minorHAnsi"/>
              </w:rPr>
              <w:t>áno</w:t>
            </w:r>
          </w:p>
        </w:tc>
        <w:tc>
          <w:tcPr>
            <w:tcW w:w="4155" w:type="dxa"/>
            <w:shd w:val="clear" w:color="auto" w:fill="auto"/>
          </w:tcPr>
          <w:p w14:paraId="705FE69B" w14:textId="77777777" w:rsidR="00DF0FC1" w:rsidRPr="00644040" w:rsidRDefault="00DF0FC1" w:rsidP="00DF0FC1">
            <w:pPr>
              <w:rPr>
                <w:rFonts w:ascii="Candara" w:hAnsi="Candara" w:cstheme="minorHAnsi"/>
              </w:rPr>
            </w:pPr>
          </w:p>
        </w:tc>
      </w:tr>
      <w:tr w:rsidR="00DF0FC1" w:rsidRPr="00644040" w14:paraId="2F949032" w14:textId="77777777" w:rsidTr="009D27FE">
        <w:trPr>
          <w:trHeight w:val="315"/>
          <w:jc w:val="center"/>
        </w:trPr>
        <w:tc>
          <w:tcPr>
            <w:tcW w:w="7366" w:type="dxa"/>
            <w:shd w:val="clear" w:color="auto" w:fill="auto"/>
            <w:vAlign w:val="center"/>
          </w:tcPr>
          <w:p w14:paraId="788C4C17" w14:textId="17B9AC9C" w:rsidR="00DF0FC1" w:rsidRPr="00644040" w:rsidRDefault="00DF0FC1" w:rsidP="00DF0FC1">
            <w:pPr>
              <w:rPr>
                <w:rFonts w:ascii="Candara" w:hAnsi="Candara" w:cstheme="minorHAnsi"/>
              </w:rPr>
            </w:pPr>
            <w:r>
              <w:rPr>
                <w:rFonts w:ascii="Cambria" w:hAnsi="Cambria" w:cs="Calibri"/>
              </w:rPr>
              <w:t>Dno a bočné steny vyrobené z min. 4 mm oceľového plechu</w:t>
            </w:r>
          </w:p>
        </w:tc>
        <w:tc>
          <w:tcPr>
            <w:tcW w:w="4110" w:type="dxa"/>
            <w:shd w:val="clear" w:color="auto" w:fill="auto"/>
          </w:tcPr>
          <w:p w14:paraId="39501693" w14:textId="2D60979C" w:rsidR="00DF0FC1" w:rsidRPr="00644040" w:rsidRDefault="00DF0FC1" w:rsidP="00DF0FC1">
            <w:pPr>
              <w:jc w:val="center"/>
              <w:rPr>
                <w:rFonts w:ascii="Candara" w:hAnsi="Candara" w:cstheme="minorHAnsi"/>
              </w:rPr>
            </w:pPr>
            <w:r>
              <w:rPr>
                <w:rFonts w:ascii="Candara" w:hAnsi="Candara" w:cstheme="minorHAnsi"/>
              </w:rPr>
              <w:t>áno</w:t>
            </w:r>
          </w:p>
        </w:tc>
        <w:tc>
          <w:tcPr>
            <w:tcW w:w="4155" w:type="dxa"/>
            <w:shd w:val="clear" w:color="auto" w:fill="auto"/>
          </w:tcPr>
          <w:p w14:paraId="507EE7EF" w14:textId="77777777" w:rsidR="00DF0FC1" w:rsidRPr="00644040" w:rsidRDefault="00DF0FC1" w:rsidP="00DF0FC1">
            <w:pPr>
              <w:rPr>
                <w:rFonts w:ascii="Candara" w:hAnsi="Candara" w:cstheme="minorHAnsi"/>
              </w:rPr>
            </w:pPr>
          </w:p>
        </w:tc>
      </w:tr>
      <w:tr w:rsidR="00DF0FC1" w:rsidRPr="00644040" w14:paraId="573C7AA0" w14:textId="77777777" w:rsidTr="009D27FE">
        <w:trPr>
          <w:trHeight w:val="315"/>
          <w:jc w:val="center"/>
        </w:trPr>
        <w:tc>
          <w:tcPr>
            <w:tcW w:w="7366" w:type="dxa"/>
            <w:shd w:val="clear" w:color="auto" w:fill="auto"/>
            <w:vAlign w:val="center"/>
          </w:tcPr>
          <w:p w14:paraId="716C95DE" w14:textId="7B5D4EFE" w:rsidR="00DF0FC1" w:rsidRPr="00644040" w:rsidRDefault="00DF0FC1" w:rsidP="00DF0FC1">
            <w:pPr>
              <w:rPr>
                <w:rFonts w:ascii="Candara" w:hAnsi="Candara" w:cstheme="minorHAnsi"/>
                <w:bCs/>
              </w:rPr>
            </w:pPr>
            <w:r>
              <w:rPr>
                <w:rFonts w:ascii="Cambria" w:hAnsi="Cambria" w:cs="Calibri"/>
              </w:rPr>
              <w:t>Vodotesné tesnenie v celej korbe</w:t>
            </w:r>
          </w:p>
        </w:tc>
        <w:tc>
          <w:tcPr>
            <w:tcW w:w="4110" w:type="dxa"/>
            <w:shd w:val="clear" w:color="auto" w:fill="auto"/>
          </w:tcPr>
          <w:p w14:paraId="6DBE5F54" w14:textId="2FD0D548" w:rsidR="00DF0FC1" w:rsidRPr="00644040" w:rsidRDefault="00DF0FC1" w:rsidP="00DF0FC1">
            <w:pPr>
              <w:jc w:val="center"/>
              <w:rPr>
                <w:rFonts w:ascii="Candara" w:hAnsi="Candara" w:cstheme="minorHAnsi"/>
              </w:rPr>
            </w:pPr>
            <w:r w:rsidRPr="00B96ADD">
              <w:rPr>
                <w:rFonts w:ascii="Candara" w:hAnsi="Candara" w:cstheme="minorHAnsi"/>
              </w:rPr>
              <w:t>áno</w:t>
            </w:r>
          </w:p>
        </w:tc>
        <w:tc>
          <w:tcPr>
            <w:tcW w:w="4155" w:type="dxa"/>
            <w:shd w:val="clear" w:color="auto" w:fill="auto"/>
          </w:tcPr>
          <w:p w14:paraId="3B5C191E" w14:textId="77777777" w:rsidR="00DF0FC1" w:rsidRPr="00644040" w:rsidRDefault="00DF0FC1" w:rsidP="00DF0FC1">
            <w:pPr>
              <w:rPr>
                <w:rFonts w:ascii="Candara" w:hAnsi="Candara" w:cstheme="minorHAnsi"/>
              </w:rPr>
            </w:pPr>
          </w:p>
        </w:tc>
      </w:tr>
      <w:tr w:rsidR="00DF0FC1" w:rsidRPr="00644040" w14:paraId="6B01A477" w14:textId="77777777" w:rsidTr="009D27FE">
        <w:trPr>
          <w:trHeight w:val="315"/>
          <w:jc w:val="center"/>
        </w:trPr>
        <w:tc>
          <w:tcPr>
            <w:tcW w:w="7366" w:type="dxa"/>
            <w:shd w:val="clear" w:color="auto" w:fill="auto"/>
            <w:vAlign w:val="center"/>
          </w:tcPr>
          <w:p w14:paraId="46392717" w14:textId="491F9432" w:rsidR="00DF0FC1" w:rsidRPr="00644040" w:rsidRDefault="00DF0FC1" w:rsidP="00DF0FC1">
            <w:pPr>
              <w:rPr>
                <w:rFonts w:ascii="Candara" w:hAnsi="Candara" w:cstheme="minorHAnsi"/>
              </w:rPr>
            </w:pPr>
            <w:r>
              <w:rPr>
                <w:rFonts w:ascii="Cambria" w:hAnsi="Cambria" w:cs="Calibri"/>
              </w:rPr>
              <w:t xml:space="preserve">Počet náprav - 2 - obe pevné, </w:t>
            </w:r>
            <w:r w:rsidRPr="00DF0FC1">
              <w:rPr>
                <w:rFonts w:ascii="Cambria" w:hAnsi="Cambria" w:cs="Calibri"/>
                <w:highlight w:val="yellow"/>
              </w:rPr>
              <w:t>v strede</w:t>
            </w:r>
            <w:r>
              <w:rPr>
                <w:rFonts w:ascii="Cambria" w:hAnsi="Cambria" w:cs="Calibri"/>
              </w:rPr>
              <w:t xml:space="preserve"> tesne za sebou ovládané kĺbovým pripojovacím mechanizmom</w:t>
            </w:r>
          </w:p>
        </w:tc>
        <w:tc>
          <w:tcPr>
            <w:tcW w:w="4110" w:type="dxa"/>
            <w:shd w:val="clear" w:color="auto" w:fill="auto"/>
          </w:tcPr>
          <w:p w14:paraId="199D6477" w14:textId="7992F8EE" w:rsidR="00DF0FC1" w:rsidRPr="00644040" w:rsidRDefault="00DF0FC1" w:rsidP="00DF0FC1">
            <w:pPr>
              <w:jc w:val="center"/>
              <w:rPr>
                <w:rFonts w:ascii="Candara" w:hAnsi="Candara" w:cstheme="minorHAnsi"/>
              </w:rPr>
            </w:pPr>
            <w:r w:rsidRPr="00B96ADD">
              <w:rPr>
                <w:rFonts w:ascii="Candara" w:hAnsi="Candara" w:cstheme="minorHAnsi"/>
              </w:rPr>
              <w:t>áno</w:t>
            </w:r>
          </w:p>
        </w:tc>
        <w:tc>
          <w:tcPr>
            <w:tcW w:w="4155" w:type="dxa"/>
            <w:shd w:val="clear" w:color="auto" w:fill="auto"/>
          </w:tcPr>
          <w:p w14:paraId="4623EB2B" w14:textId="77777777" w:rsidR="00DF0FC1" w:rsidRPr="00644040" w:rsidRDefault="00DF0FC1" w:rsidP="00DF0FC1">
            <w:pPr>
              <w:rPr>
                <w:rFonts w:ascii="Candara" w:hAnsi="Candara" w:cstheme="minorHAnsi"/>
              </w:rPr>
            </w:pPr>
          </w:p>
        </w:tc>
      </w:tr>
      <w:tr w:rsidR="00DF0FC1" w:rsidRPr="00644040" w14:paraId="0C4F794D" w14:textId="77777777" w:rsidTr="009D27FE">
        <w:trPr>
          <w:trHeight w:val="315"/>
          <w:jc w:val="center"/>
        </w:trPr>
        <w:tc>
          <w:tcPr>
            <w:tcW w:w="7366" w:type="dxa"/>
            <w:shd w:val="clear" w:color="auto" w:fill="auto"/>
            <w:vAlign w:val="center"/>
          </w:tcPr>
          <w:p w14:paraId="390F4CE3" w14:textId="7F4C25DD" w:rsidR="00DF0FC1" w:rsidRPr="00644040" w:rsidRDefault="00DF0FC1" w:rsidP="00DF0FC1">
            <w:pPr>
              <w:rPr>
                <w:rFonts w:ascii="Candara" w:hAnsi="Candara" w:cstheme="minorHAnsi"/>
                <w:bCs/>
              </w:rPr>
            </w:pPr>
            <w:r>
              <w:rPr>
                <w:rFonts w:ascii="Cambria" w:hAnsi="Cambria" w:cs="Calibri"/>
              </w:rPr>
              <w:t>Pneumatické brzdy, cestné svetlá, rebrík</w:t>
            </w:r>
          </w:p>
        </w:tc>
        <w:tc>
          <w:tcPr>
            <w:tcW w:w="4110" w:type="dxa"/>
            <w:shd w:val="clear" w:color="auto" w:fill="auto"/>
          </w:tcPr>
          <w:p w14:paraId="1B056A6C" w14:textId="1664B122" w:rsidR="00DF0FC1" w:rsidRPr="00644040" w:rsidRDefault="00DF0FC1" w:rsidP="00DF0FC1">
            <w:pPr>
              <w:jc w:val="center"/>
              <w:rPr>
                <w:rFonts w:ascii="Candara" w:hAnsi="Candara" w:cstheme="minorHAnsi"/>
              </w:rPr>
            </w:pPr>
            <w:r w:rsidRPr="00B96ADD">
              <w:rPr>
                <w:rFonts w:ascii="Candara" w:hAnsi="Candara" w:cstheme="minorHAnsi"/>
              </w:rPr>
              <w:t>áno</w:t>
            </w:r>
          </w:p>
        </w:tc>
        <w:tc>
          <w:tcPr>
            <w:tcW w:w="4155" w:type="dxa"/>
            <w:shd w:val="clear" w:color="auto" w:fill="auto"/>
          </w:tcPr>
          <w:p w14:paraId="39D06F6D" w14:textId="77777777" w:rsidR="00DF0FC1" w:rsidRPr="00644040" w:rsidRDefault="00DF0FC1" w:rsidP="00DF0FC1">
            <w:pPr>
              <w:rPr>
                <w:rFonts w:ascii="Candara" w:hAnsi="Candara" w:cstheme="minorHAnsi"/>
              </w:rPr>
            </w:pPr>
          </w:p>
        </w:tc>
      </w:tr>
      <w:tr w:rsidR="00DF0FC1" w:rsidRPr="00644040" w14:paraId="0812391F" w14:textId="77777777" w:rsidTr="009D27FE">
        <w:trPr>
          <w:trHeight w:val="315"/>
          <w:jc w:val="center"/>
        </w:trPr>
        <w:tc>
          <w:tcPr>
            <w:tcW w:w="7366" w:type="dxa"/>
            <w:shd w:val="clear" w:color="auto" w:fill="auto"/>
            <w:vAlign w:val="center"/>
          </w:tcPr>
          <w:p w14:paraId="5FED2423" w14:textId="22DBFCF6" w:rsidR="00DF0FC1" w:rsidRPr="00644040" w:rsidRDefault="00DF0FC1" w:rsidP="00DF0FC1">
            <w:pPr>
              <w:rPr>
                <w:rFonts w:ascii="Candara" w:hAnsi="Candara" w:cstheme="minorHAnsi"/>
                <w:bCs/>
              </w:rPr>
            </w:pPr>
            <w:r>
              <w:rPr>
                <w:rFonts w:ascii="Cambria" w:hAnsi="Cambria" w:cs="Calibri"/>
              </w:rPr>
              <w:t xml:space="preserve">Nosnosť </w:t>
            </w:r>
          </w:p>
        </w:tc>
        <w:tc>
          <w:tcPr>
            <w:tcW w:w="4110" w:type="dxa"/>
            <w:shd w:val="clear" w:color="auto" w:fill="auto"/>
          </w:tcPr>
          <w:p w14:paraId="27903027" w14:textId="2F3517BA" w:rsidR="00DF0FC1" w:rsidRPr="00644040" w:rsidRDefault="00DF0FC1" w:rsidP="00DF0FC1">
            <w:pPr>
              <w:jc w:val="center"/>
              <w:rPr>
                <w:rFonts w:ascii="Candara" w:hAnsi="Candara" w:cstheme="minorHAnsi"/>
              </w:rPr>
            </w:pPr>
            <w:r>
              <w:rPr>
                <w:rFonts w:ascii="Candara" w:hAnsi="Candara" w:cstheme="minorHAnsi"/>
              </w:rPr>
              <w:t>Min. 10 ton</w:t>
            </w:r>
          </w:p>
        </w:tc>
        <w:tc>
          <w:tcPr>
            <w:tcW w:w="4155" w:type="dxa"/>
            <w:shd w:val="clear" w:color="auto" w:fill="auto"/>
          </w:tcPr>
          <w:p w14:paraId="61940F0C" w14:textId="77777777" w:rsidR="00DF0FC1" w:rsidRPr="00644040" w:rsidRDefault="00DF0FC1" w:rsidP="00DF0FC1">
            <w:pPr>
              <w:rPr>
                <w:rFonts w:ascii="Candara" w:hAnsi="Candara" w:cstheme="minorHAnsi"/>
              </w:rPr>
            </w:pPr>
          </w:p>
        </w:tc>
      </w:tr>
      <w:tr w:rsidR="00DF0FC1" w:rsidRPr="00644040" w14:paraId="6752F567" w14:textId="77777777" w:rsidTr="009D27FE">
        <w:trPr>
          <w:trHeight w:val="315"/>
          <w:jc w:val="center"/>
        </w:trPr>
        <w:tc>
          <w:tcPr>
            <w:tcW w:w="7366" w:type="dxa"/>
            <w:shd w:val="clear" w:color="auto" w:fill="auto"/>
            <w:vAlign w:val="center"/>
          </w:tcPr>
          <w:p w14:paraId="22D66D22" w14:textId="55CE42C1" w:rsidR="00DF0FC1" w:rsidRDefault="00DF0FC1" w:rsidP="00DF0FC1">
            <w:pPr>
              <w:rPr>
                <w:rFonts w:ascii="Cambria" w:hAnsi="Cambria" w:cs="Calibri"/>
              </w:rPr>
            </w:pPr>
            <w:r>
              <w:rPr>
                <w:rFonts w:ascii="Cambria" w:hAnsi="Cambria" w:cs="Calibri"/>
              </w:rPr>
              <w:t>Objem</w:t>
            </w:r>
          </w:p>
        </w:tc>
        <w:tc>
          <w:tcPr>
            <w:tcW w:w="4110" w:type="dxa"/>
            <w:shd w:val="clear" w:color="auto" w:fill="auto"/>
          </w:tcPr>
          <w:p w14:paraId="1725844D" w14:textId="1BBF5E3D" w:rsidR="00DF0FC1" w:rsidRPr="00644040" w:rsidRDefault="00DF0FC1" w:rsidP="00DF0FC1">
            <w:pPr>
              <w:jc w:val="center"/>
              <w:rPr>
                <w:rFonts w:ascii="Candara" w:hAnsi="Candara" w:cstheme="minorHAnsi"/>
              </w:rPr>
            </w:pPr>
            <w:r>
              <w:rPr>
                <w:rFonts w:ascii="Candara" w:hAnsi="Candara" w:cstheme="minorHAnsi"/>
              </w:rPr>
              <w:t>Min. 10m3</w:t>
            </w:r>
          </w:p>
        </w:tc>
        <w:tc>
          <w:tcPr>
            <w:tcW w:w="4155" w:type="dxa"/>
            <w:shd w:val="clear" w:color="auto" w:fill="auto"/>
          </w:tcPr>
          <w:p w14:paraId="15513460" w14:textId="77777777" w:rsidR="00DF0FC1" w:rsidRPr="00644040" w:rsidRDefault="00DF0FC1" w:rsidP="00DF0FC1">
            <w:pPr>
              <w:rPr>
                <w:rFonts w:ascii="Candara" w:hAnsi="Candara" w:cstheme="minorHAnsi"/>
              </w:rPr>
            </w:pP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4C952E8B"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„Zabezpečenie technického vybavenia pre Zberný dvor Zavar</w:t>
      </w:r>
      <w:r w:rsidR="0042472B">
        <w:rPr>
          <w:rFonts w:ascii="Candara" w:hAnsi="Candara" w:cstheme="minorHAnsi"/>
          <w:caps w:val="0"/>
          <w:color w:val="000000" w:themeColor="text1"/>
        </w:rPr>
        <w:t xml:space="preserve"> – </w:t>
      </w:r>
      <w:r w:rsidR="00D90022" w:rsidRPr="00D90022">
        <w:rPr>
          <w:rFonts w:ascii="Candara" w:hAnsi="Candara" w:cstheme="minorHAnsi"/>
          <w:caps w:val="0"/>
          <w:color w:val="000000" w:themeColor="text1"/>
        </w:rPr>
        <w:t>Vyklápací náves</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asť 2</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
        <w:gridCol w:w="463"/>
        <w:gridCol w:w="2438"/>
        <w:gridCol w:w="1042"/>
        <w:gridCol w:w="1276"/>
        <w:gridCol w:w="1569"/>
        <w:gridCol w:w="183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2.</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0616DED5" w:rsidR="0042472B" w:rsidRPr="0042472B" w:rsidRDefault="00D90022" w:rsidP="00BA0F29">
            <w:pPr>
              <w:jc w:val="center"/>
              <w:rPr>
                <w:rFonts w:ascii="Candara" w:hAnsi="Candara" w:cs="Arial"/>
                <w:b/>
                <w:sz w:val="22"/>
                <w:szCs w:val="22"/>
              </w:rPr>
            </w:pPr>
            <w:r w:rsidRPr="00D90022">
              <w:rPr>
                <w:rFonts w:ascii="Candara" w:eastAsia="Arial Narrow" w:hAnsi="Candara" w:cstheme="minorHAnsi"/>
              </w:rPr>
              <w:t>Vyklápací náves</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b/>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0" w:name="_Toc419999789"/>
      <w:bookmarkStart w:id="1" w:name="_Toc429730869"/>
      <w:bookmarkStart w:id="2"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0"/>
      <w:bookmarkEnd w:id="1"/>
      <w:bookmarkEnd w:id="2"/>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66AC811F"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 xml:space="preserve">„Zabezpečenie technického vybavenia pre Zberný dvor </w:t>
      </w:r>
      <w:r w:rsidR="00300F05">
        <w:rPr>
          <w:rFonts w:ascii="Candara" w:hAnsi="Candara" w:cstheme="minorHAnsi"/>
          <w:caps w:val="0"/>
          <w:color w:val="000000" w:themeColor="text1"/>
        </w:rPr>
        <w:t>Likavka</w:t>
      </w:r>
      <w:r w:rsidR="0042472B">
        <w:rPr>
          <w:rFonts w:ascii="Candara" w:hAnsi="Candara" w:cstheme="minorHAnsi"/>
          <w:caps w:val="0"/>
          <w:color w:val="000000" w:themeColor="text1"/>
        </w:rPr>
        <w:t xml:space="preserve">“ – </w:t>
      </w:r>
      <w:r w:rsidR="00D90022" w:rsidRPr="00D90022">
        <w:rPr>
          <w:rFonts w:ascii="Candara" w:hAnsi="Candara" w:cstheme="minorHAnsi"/>
          <w:caps w:val="0"/>
          <w:color w:val="000000" w:themeColor="text1"/>
        </w:rPr>
        <w:t>Vyklápací náves</w:t>
      </w:r>
      <w:r w:rsidR="0042472B">
        <w:rPr>
          <w:rFonts w:ascii="Candara" w:hAnsi="Candara" w:cstheme="minorHAnsi"/>
          <w:caps w:val="0"/>
          <w:color w:val="000000" w:themeColor="text1"/>
        </w:rPr>
        <w:t>,</w:t>
      </w:r>
      <w:r w:rsidR="0042472B" w:rsidRPr="009E4C59">
        <w:rPr>
          <w:rFonts w:ascii="Candara" w:hAnsi="Candara" w:cstheme="minorHAnsi"/>
          <w:caps w:val="0"/>
          <w:color w:val="000000" w:themeColor="text1"/>
        </w:rPr>
        <w:t xml:space="preserve"> č</w:t>
      </w:r>
      <w:r w:rsidR="0042472B">
        <w:rPr>
          <w:rFonts w:ascii="Candara" w:hAnsi="Candara" w:cstheme="minorHAnsi"/>
          <w:caps w:val="0"/>
          <w:color w:val="000000" w:themeColor="text1"/>
        </w:rPr>
        <w:t xml:space="preserve">asť </w:t>
      </w:r>
      <w:r w:rsidR="00D90022">
        <w:rPr>
          <w:rFonts w:ascii="Candara" w:hAnsi="Candara" w:cstheme="minorHAnsi"/>
          <w:caps w:val="0"/>
          <w:color w:val="000000" w:themeColor="text1"/>
        </w:rPr>
        <w:t>2</w:t>
      </w:r>
      <w:r w:rsidR="0042472B">
        <w:rPr>
          <w:rFonts w:ascii="Candara" w:hAnsi="Candara" w:cstheme="minorHAnsi"/>
          <w:caps w:val="0"/>
          <w:color w:val="000000" w:themeColor="text1"/>
        </w:rPr>
        <w:t xml:space="preserve"> </w:t>
      </w:r>
      <w:r w:rsidR="0042472B">
        <w:rPr>
          <w:rFonts w:ascii="Candara" w:hAnsi="Candara" w:cstheme="minorHAnsi"/>
        </w:rPr>
        <w:t xml:space="preserve"> </w:t>
      </w:r>
      <w:r w:rsidRPr="0042472B">
        <w:rPr>
          <w:rFonts w:ascii="Candara" w:hAnsi="Candara" w:cstheme="minorHAnsi"/>
          <w:b w:val="0"/>
          <w:bCs w:val="0"/>
          <w:caps w:val="0"/>
          <w:color w:val="auto"/>
          <w:sz w:val="20"/>
          <w:szCs w:val="20"/>
          <w:lang w:eastAsia="en-US"/>
        </w:rPr>
        <w:t xml:space="preserve">, vyhlásenej verejným obstarávateľom Obcou </w:t>
      </w:r>
      <w:r w:rsidR="00300F05">
        <w:rPr>
          <w:rFonts w:ascii="Candara" w:hAnsi="Candara" w:cstheme="minorHAnsi"/>
          <w:b w:val="0"/>
          <w:bCs w:val="0"/>
          <w:caps w:val="0"/>
          <w:color w:val="auto"/>
          <w:sz w:val="20"/>
          <w:szCs w:val="20"/>
          <w:lang w:eastAsia="en-US"/>
        </w:rPr>
        <w:t>Likavka</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F12D32">
        <w:rPr>
          <w:rFonts w:ascii="Candara" w:hAnsi="Candara" w:cstheme="minorHAnsi"/>
          <w:b/>
        </w:rPr>
      </w:r>
      <w:r w:rsidR="00F12D32">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F12D32">
        <w:rPr>
          <w:rFonts w:ascii="Candara" w:hAnsi="Candara" w:cstheme="minorHAnsi"/>
          <w:b/>
        </w:rPr>
      </w:r>
      <w:r w:rsidR="00F12D32">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502"/>
        <w:gridCol w:w="1283"/>
        <w:gridCol w:w="1196"/>
        <w:gridCol w:w="2030"/>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26CF5C35" w14:textId="77777777" w:rsidR="009E4C59" w:rsidRPr="009E4C59" w:rsidRDefault="009E4C59" w:rsidP="009E4C59">
      <w:pPr>
        <w:rPr>
          <w:rFonts w:ascii="Candara" w:hAnsi="Candara" w:cstheme="minorHAnsi"/>
          <w:b/>
          <w:bCs/>
        </w:rPr>
      </w:pPr>
    </w:p>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AA27" w14:textId="77777777" w:rsidR="009E4C59" w:rsidRDefault="009E4C59" w:rsidP="009E4C59">
      <w:r>
        <w:separator/>
      </w:r>
    </w:p>
  </w:endnote>
  <w:endnote w:type="continuationSeparator" w:id="0">
    <w:p w14:paraId="7FF414E3" w14:textId="77777777" w:rsidR="009E4C59" w:rsidRDefault="009E4C59"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charset w:val="00"/>
    <w:family w:val="auto"/>
    <w:pitch w:val="variable"/>
    <w:sig w:usb0="00000001" w:usb1="00000001" w:usb2="00000000" w:usb3="00000000" w:csb0="00000093"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End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F12D32"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ED18" w14:textId="77777777" w:rsidR="009E4C59" w:rsidRDefault="009E4C59" w:rsidP="009E4C59">
      <w:r>
        <w:separator/>
      </w:r>
    </w:p>
  </w:footnote>
  <w:footnote w:type="continuationSeparator" w:id="0">
    <w:p w14:paraId="49D4C0B1" w14:textId="77777777" w:rsidR="009E4C59" w:rsidRDefault="009E4C59"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1230BCC4" w:rsidR="00F3034A" w:rsidRDefault="00300F05" w:rsidP="001A216E">
    <w:pPr>
      <w:pStyle w:val="Hlavika"/>
      <w:tabs>
        <w:tab w:val="left" w:pos="3450"/>
      </w:tabs>
    </w:pPr>
    <w:r>
      <w:rPr>
        <w:rFonts w:ascii="Cambria" w:hAnsi="Cambria" w:cstheme="minorHAnsi"/>
        <w:noProof/>
        <w:sz w:val="24"/>
        <w:szCs w:val="24"/>
      </w:rPr>
      <w:drawing>
        <wp:anchor distT="0" distB="0" distL="114300" distR="114300" simplePos="0" relativeHeight="251658240" behindDoc="0" locked="0" layoutInCell="1" allowOverlap="1" wp14:anchorId="28A25AB6" wp14:editId="014B0B73">
          <wp:simplePos x="0" y="0"/>
          <wp:positionH relativeFrom="column">
            <wp:posOffset>-152400</wp:posOffset>
          </wp:positionH>
          <wp:positionV relativeFrom="paragraph">
            <wp:posOffset>-217805</wp:posOffset>
          </wp:positionV>
          <wp:extent cx="685800" cy="666750"/>
          <wp:effectExtent l="0" t="0" r="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72B">
      <w:tab/>
    </w:r>
  </w:p>
  <w:p w14:paraId="6DD54C9A" w14:textId="29468A34"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Likavka</w:t>
    </w:r>
  </w:p>
  <w:p w14:paraId="2AE89A45" w14:textId="2128E9A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300F05">
      <w:rPr>
        <w:rFonts w:ascii="Cambria" w:eastAsia="Calibri" w:hAnsi="Cambria"/>
        <w:sz w:val="22"/>
        <w:szCs w:val="22"/>
      </w:rPr>
      <w:t>034 95 Likavka 815</w:t>
    </w:r>
  </w:p>
  <w:p w14:paraId="38731951" w14:textId="77777777" w:rsidR="00F3034A" w:rsidRDefault="00F12D32"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F12D32"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1"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4"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5"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7"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0"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1"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2"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3"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8"/>
  </w:num>
  <w:num w:numId="2">
    <w:abstractNumId w:val="13"/>
  </w:num>
  <w:num w:numId="3">
    <w:abstractNumId w:val="24"/>
  </w:num>
  <w:num w:numId="4">
    <w:abstractNumId w:val="22"/>
  </w:num>
  <w:num w:numId="5">
    <w:abstractNumId w:val="10"/>
  </w:num>
  <w:num w:numId="6">
    <w:abstractNumId w:val="14"/>
  </w:num>
  <w:num w:numId="7">
    <w:abstractNumId w:val="3"/>
  </w:num>
  <w:num w:numId="8">
    <w:abstractNumId w:val="1"/>
  </w:num>
  <w:num w:numId="9">
    <w:abstractNumId w:val="21"/>
  </w:num>
  <w:num w:numId="10">
    <w:abstractNumId w:val="19"/>
  </w:num>
  <w:num w:numId="11">
    <w:abstractNumId w:val="5"/>
  </w:num>
  <w:num w:numId="12">
    <w:abstractNumId w:val="2"/>
  </w:num>
  <w:num w:numId="13">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5"/>
  </w:num>
  <w:num w:numId="24">
    <w:abstractNumId w:val="0"/>
  </w:num>
  <w:num w:numId="25">
    <w:abstractNumId w:val="11"/>
  </w:num>
  <w:num w:numId="26">
    <w:abstractNumId w:val="12"/>
  </w:num>
  <w:num w:numId="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200C76"/>
    <w:rsid w:val="00261C01"/>
    <w:rsid w:val="00300F05"/>
    <w:rsid w:val="003D094C"/>
    <w:rsid w:val="0042472B"/>
    <w:rsid w:val="00601F8D"/>
    <w:rsid w:val="00664063"/>
    <w:rsid w:val="00757287"/>
    <w:rsid w:val="00843CDB"/>
    <w:rsid w:val="009E4C59"/>
    <w:rsid w:val="00AA5A4D"/>
    <w:rsid w:val="00B568C1"/>
    <w:rsid w:val="00C8287D"/>
    <w:rsid w:val="00D90022"/>
    <w:rsid w:val="00DF0FC1"/>
    <w:rsid w:val="00E533A8"/>
    <w:rsid w:val="00E92A8B"/>
    <w:rsid w:val="00E94EE2"/>
    <w:rsid w:val="00F12D32"/>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4C59"/>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sz w:val="24"/>
      <w:szCs w:val="24"/>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sz w:val="24"/>
      <w:szCs w:val="24"/>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szCs w:val="24"/>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3116</Words>
  <Characters>17765</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Michaela Takáč Markovičová</cp:lastModifiedBy>
  <cp:revision>4</cp:revision>
  <cp:lastPrinted>2018-05-30T08:08:00Z</cp:lastPrinted>
  <dcterms:created xsi:type="dcterms:W3CDTF">2022-01-12T08:11:00Z</dcterms:created>
  <dcterms:modified xsi:type="dcterms:W3CDTF">2022-01-13T08:37:00Z</dcterms:modified>
</cp:coreProperties>
</file>