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1E01A599" w:rsidR="00A922CE" w:rsidRPr="000E6197" w:rsidRDefault="002319F9" w:rsidP="00253FFF">
            <w:pPr>
              <w:spacing w:after="0" w:line="360" w:lineRule="auto"/>
              <w:jc w:val="both"/>
              <w:rPr>
                <w:rFonts w:cs="Arial"/>
                <w:szCs w:val="20"/>
                <w:highlight w:val="yellow"/>
              </w:rPr>
            </w:pPr>
            <w:r w:rsidRPr="00783370">
              <w:rPr>
                <w:rFonts w:cs="Arial"/>
              </w:rPr>
              <w:t xml:space="preserve">Ing. </w:t>
            </w:r>
            <w:r w:rsidR="0098464C">
              <w:rPr>
                <w:rFonts w:cs="Arial"/>
              </w:rPr>
              <w:t>J</w:t>
            </w:r>
            <w:r w:rsidR="008B01A5">
              <w:rPr>
                <w:rFonts w:cs="Arial"/>
              </w:rPr>
              <w:t xml:space="preserve">ozef </w:t>
            </w:r>
            <w:proofErr w:type="spellStart"/>
            <w:r w:rsidR="008B01A5">
              <w:rPr>
                <w:rFonts w:cs="Arial"/>
              </w:rPr>
              <w:t>Sisák</w:t>
            </w:r>
            <w:proofErr w:type="spellEnd"/>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7279E48"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302A76">
        <w:rPr>
          <w:rFonts w:ascii="Arial" w:hAnsi="Arial" w:cs="Arial"/>
          <w:sz w:val="20"/>
          <w:lang w:val="sk-SK"/>
        </w:rPr>
        <w:t>Vihorlat</w:t>
      </w:r>
      <w:r w:rsidRPr="00783370">
        <w:rPr>
          <w:rFonts w:ascii="Arial" w:hAnsi="Arial" w:cs="Arial"/>
          <w:sz w:val="20"/>
          <w:lang w:val="sk-SK"/>
        </w:rPr>
        <w:t xml:space="preserve">, </w:t>
      </w:r>
      <w:r w:rsidRPr="002319F9">
        <w:rPr>
          <w:rFonts w:ascii="Arial" w:hAnsi="Arial" w:cs="Arial"/>
          <w:sz w:val="20"/>
          <w:lang w:val="sk-SK"/>
        </w:rPr>
        <w:t>VC</w:t>
      </w:r>
      <w:r w:rsidR="001F609B">
        <w:rPr>
          <w:rFonts w:ascii="Arial" w:hAnsi="Arial" w:cs="Arial"/>
          <w:sz w:val="20"/>
          <w:lang w:val="sk-SK"/>
        </w:rPr>
        <w:t xml:space="preserve"> č.2</w:t>
      </w:r>
      <w:bookmarkStart w:id="0" w:name="_GoBack"/>
      <w:bookmarkEnd w:id="0"/>
      <w:r w:rsidR="001F609B">
        <w:rPr>
          <w:rFonts w:ascii="Arial" w:hAnsi="Arial" w:cs="Arial"/>
          <w:sz w:val="20"/>
          <w:lang w:val="sk-SK"/>
        </w:rPr>
        <w:t xml:space="preserve"> LS Koškovce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626AA69D" w:rsidR="006B63AF" w:rsidRPr="000E6197" w:rsidRDefault="006B63AF" w:rsidP="00995F74">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w:t>
      </w:r>
      <w:r w:rsidR="00995F74">
        <w:rPr>
          <w:rFonts w:cs="Arial"/>
          <w:b/>
          <w:szCs w:val="20"/>
        </w:rPr>
        <w:t>2</w:t>
      </w:r>
      <w:r w:rsidR="00BF2E60" w:rsidRPr="00F258F1">
        <w:rPr>
          <w:rFonts w:cs="Arial"/>
          <w:b/>
          <w:szCs w:val="20"/>
        </w:rPr>
        <w:t>/2</w:t>
      </w:r>
      <w:r w:rsidR="00995F74">
        <w:rPr>
          <w:rFonts w:cs="Arial"/>
          <w:b/>
          <w:szCs w:val="20"/>
        </w:rPr>
        <w:t>5</w:t>
      </w:r>
      <w:r w:rsidRPr="00BF2E60">
        <w:rPr>
          <w:rFonts w:cs="Arial"/>
          <w:szCs w:val="20"/>
        </w:rPr>
        <w:t>,</w:t>
      </w:r>
      <w:r w:rsidRPr="000E6197">
        <w:rPr>
          <w:rFonts w:cs="Arial"/>
          <w:szCs w:val="20"/>
        </w:rPr>
        <w:t xml:space="preserve"> zverejnenou vo Vestníku verejného obstarávania č. </w:t>
      </w:r>
      <w:r w:rsidR="00995F74" w:rsidRPr="00995F74">
        <w:rPr>
          <w:rFonts w:cs="Arial"/>
          <w:b/>
          <w:szCs w:val="20"/>
        </w:rPr>
        <w:t>8/2021</w:t>
      </w:r>
      <w:r w:rsidR="00995F74" w:rsidRPr="00995F74">
        <w:rPr>
          <w:rFonts w:cs="Arial"/>
          <w:szCs w:val="20"/>
        </w:rPr>
        <w:t xml:space="preserve"> </w:t>
      </w:r>
      <w:r w:rsidR="00DB0D1A" w:rsidRPr="002319F9">
        <w:rPr>
          <w:rFonts w:cs="Arial"/>
          <w:szCs w:val="20"/>
        </w:rPr>
        <w:t xml:space="preserve"> </w:t>
      </w:r>
      <w:r w:rsidRPr="002319F9">
        <w:rPr>
          <w:rFonts w:cs="Arial"/>
          <w:szCs w:val="20"/>
        </w:rPr>
        <w:t xml:space="preserve">č. </w:t>
      </w:r>
      <w:r w:rsidR="00995F74" w:rsidRPr="00995F74">
        <w:rPr>
          <w:rFonts w:cs="Arial"/>
          <w:b/>
          <w:szCs w:val="20"/>
        </w:rPr>
        <w:t>1483-MUS</w:t>
      </w:r>
      <w:r w:rsidRPr="002319F9">
        <w:rPr>
          <w:rFonts w:cs="Arial"/>
          <w:szCs w:val="20"/>
        </w:rPr>
        <w:t xml:space="preserve"> z </w:t>
      </w:r>
      <w:r w:rsidR="00995F74" w:rsidRPr="00995F74">
        <w:rPr>
          <w:rFonts w:cs="Arial"/>
          <w:b/>
          <w:szCs w:val="20"/>
        </w:rPr>
        <w:t>14.01.2021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917774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FB7254">
        <w:rPr>
          <w:rFonts w:ascii="Arial" w:hAnsi="Arial" w:cs="Arial"/>
          <w:b/>
          <w:sz w:val="20"/>
          <w:highlight w:val="yellow"/>
          <w:lang w:val="sk-SK"/>
        </w:rPr>
        <w:t>31.</w:t>
      </w:r>
      <w:r w:rsidR="00A949CE" w:rsidRPr="00FB7254">
        <w:rPr>
          <w:rFonts w:ascii="Arial" w:hAnsi="Arial" w:cs="Arial"/>
          <w:b/>
          <w:sz w:val="20"/>
          <w:highlight w:val="yellow"/>
          <w:lang w:val="sk-SK"/>
        </w:rPr>
        <w:t>12</w:t>
      </w:r>
      <w:r w:rsidR="002319F9" w:rsidRPr="00FB7254">
        <w:rPr>
          <w:rFonts w:ascii="Arial" w:hAnsi="Arial" w:cs="Arial"/>
          <w:b/>
          <w:sz w:val="20"/>
          <w:highlight w:val="yellow"/>
          <w:lang w:val="sk-SK"/>
        </w:rPr>
        <w:t>.202</w:t>
      </w:r>
      <w:r w:rsidR="0098464C" w:rsidRPr="00FB7254">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1B50D200"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B01A5">
              <w:rPr>
                <w:rFonts w:eastAsia="Calibri" w:cs="Arial"/>
                <w:b/>
                <w:szCs w:val="20"/>
              </w:rPr>
              <w:t>ozef Sisák</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6ED30" w14:textId="77777777" w:rsidR="009C4841" w:rsidRDefault="009C4841">
      <w:r>
        <w:separator/>
      </w:r>
    </w:p>
  </w:endnote>
  <w:endnote w:type="continuationSeparator" w:id="0">
    <w:p w14:paraId="051C19B6" w14:textId="77777777" w:rsidR="009C4841" w:rsidRDefault="009C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F609B">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F609B">
                    <w:rPr>
                      <w:bCs/>
                      <w:noProof/>
                      <w:sz w:val="18"/>
                      <w:szCs w:val="18"/>
                    </w:rPr>
                    <w:t>11</w:t>
                  </w:r>
                  <w:r w:rsidRPr="007C3D49">
                    <w:rPr>
                      <w:bCs/>
                      <w:sz w:val="18"/>
                      <w:szCs w:val="18"/>
                    </w:rPr>
                    <w:fldChar w:fldCharType="end"/>
                  </w:r>
                </w:p>
              </w:tc>
            </w:tr>
          </w:tbl>
          <w:p w14:paraId="03526B68" w14:textId="77777777" w:rsidR="0083045C" w:rsidRPr="002917A0" w:rsidRDefault="009C484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8E1C5" w14:textId="77777777" w:rsidR="009C4841" w:rsidRDefault="009C4841">
      <w:r>
        <w:separator/>
      </w:r>
    </w:p>
  </w:footnote>
  <w:footnote w:type="continuationSeparator" w:id="0">
    <w:p w14:paraId="6924E435" w14:textId="77777777" w:rsidR="009C4841" w:rsidRDefault="009C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09B"/>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A76"/>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A7E"/>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5F74"/>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841"/>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87D73"/>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254"/>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B438-FA6A-45A4-8ECA-6978A514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5257</Words>
  <Characters>29970</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12</cp:revision>
  <cp:lastPrinted>2020-04-01T12:13:00Z</cp:lastPrinted>
  <dcterms:created xsi:type="dcterms:W3CDTF">2021-05-19T06:47:00Z</dcterms:created>
  <dcterms:modified xsi:type="dcterms:W3CDTF">2022-02-07T13:34:00Z</dcterms:modified>
  <cp:category>EIZ</cp:category>
</cp:coreProperties>
</file>