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Default="007C3F95" w:rsidP="007C3F95">
      <w:pPr>
        <w:widowControl w:val="0"/>
        <w:spacing w:line="240" w:lineRule="auto"/>
        <w:jc w:val="center"/>
      </w:pPr>
      <w:r>
        <w:rPr>
          <w:b/>
          <w:sz w:val="24"/>
        </w:rPr>
        <w:t>Nájomná zmluva</w:t>
      </w:r>
    </w:p>
    <w:p w14:paraId="621D2C32" w14:textId="07EB631A" w:rsidR="007C3F95" w:rsidRDefault="007C3F95" w:rsidP="007C3F95">
      <w:pPr>
        <w:widowControl w:val="0"/>
        <w:spacing w:line="240" w:lineRule="auto"/>
        <w:jc w:val="center"/>
      </w:pPr>
      <w:r w:rsidRPr="008B749D">
        <w:rPr>
          <w:b/>
        </w:rPr>
        <w:t xml:space="preserve">č. </w:t>
      </w:r>
      <w:r w:rsidR="00685420">
        <w:rPr>
          <w:rFonts w:ascii="Avenir Roman" w:eastAsia="Arial Unicode MS" w:hAnsi="Avenir Roman" w:cs="Arial Unicode MS"/>
          <w:color w:val="auto"/>
          <w:highlight w:val="yellow"/>
        </w:rPr>
        <w:t>[•]</w:t>
      </w:r>
    </w:p>
    <w:p w14:paraId="14355C53" w14:textId="594F9F34" w:rsidR="007C3F95" w:rsidRDefault="007C3F95" w:rsidP="007C3F95">
      <w:pPr>
        <w:pBdr>
          <w:top w:val="single" w:sz="4" w:space="1" w:color="auto"/>
        </w:pBdr>
        <w:rPr>
          <w:sz w:val="20"/>
        </w:rPr>
      </w:pPr>
    </w:p>
    <w:p w14:paraId="5E9B8626" w14:textId="77777777" w:rsidR="00783E53" w:rsidRPr="005E77A9" w:rsidRDefault="00783E53" w:rsidP="007C3F95">
      <w:pPr>
        <w:pBdr>
          <w:top w:val="single" w:sz="4" w:space="1" w:color="auto"/>
        </w:pBdr>
        <w:rPr>
          <w:sz w:val="20"/>
        </w:rPr>
      </w:pPr>
    </w:p>
    <w:p w14:paraId="6FF72F66" w14:textId="77777777"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sz w:val="20"/>
          <w:szCs w:val="20"/>
          <w:highlight w:val="yellow"/>
        </w:rPr>
        <w:t xml:space="preserve">uzavretá podľa </w:t>
      </w:r>
      <w:r w:rsidRPr="005E77A9">
        <w:rPr>
          <w:rFonts w:ascii="Arial" w:hAnsi="Arial" w:cs="Arial"/>
          <w:i/>
          <w:iCs/>
          <w:color w:val="000000"/>
          <w:sz w:val="20"/>
          <w:szCs w:val="20"/>
          <w:highlight w:val="yellow"/>
        </w:rPr>
        <w:t>§ 3 zákona č. 116/1990 Zb. o nájme a podnájme nebytových priestorov v znení neskorších predpisov</w:t>
      </w:r>
      <w:r w:rsidRPr="005E77A9">
        <w:rPr>
          <w:rFonts w:ascii="Arial" w:hAnsi="Arial" w:cs="Arial"/>
          <w:i/>
          <w:sz w:val="20"/>
          <w:szCs w:val="20"/>
          <w:highlight w:val="yellow"/>
        </w:rPr>
        <w:t xml:space="preserve"> a </w:t>
      </w:r>
      <w:r w:rsidRPr="005E77A9">
        <w:rPr>
          <w:rFonts w:ascii="Arial" w:hAnsi="Arial" w:cs="Arial"/>
          <w:i/>
          <w:iCs/>
          <w:color w:val="000000"/>
          <w:sz w:val="20"/>
          <w:szCs w:val="20"/>
          <w:highlight w:val="yellow"/>
        </w:rPr>
        <w:t>§ 663 a </w:t>
      </w:r>
      <w:proofErr w:type="spellStart"/>
      <w:r w:rsidRPr="005E77A9">
        <w:rPr>
          <w:rFonts w:ascii="Arial" w:hAnsi="Arial" w:cs="Arial"/>
          <w:i/>
          <w:iCs/>
          <w:color w:val="000000"/>
          <w:sz w:val="20"/>
          <w:szCs w:val="20"/>
          <w:highlight w:val="yellow"/>
        </w:rPr>
        <w:t>nasl</w:t>
      </w:r>
      <w:proofErr w:type="spellEnd"/>
      <w:r w:rsidRPr="005E77A9">
        <w:rPr>
          <w:rFonts w:ascii="Arial" w:hAnsi="Arial" w:cs="Arial"/>
          <w:i/>
          <w:iCs/>
          <w:color w:val="000000"/>
          <w:sz w:val="20"/>
          <w:szCs w:val="20"/>
          <w:highlight w:val="yellow"/>
        </w:rPr>
        <w:t>. zákona č. 40/1964 Zb. Občiansky zákonník v znení neskorších</w:t>
      </w:r>
    </w:p>
    <w:p w14:paraId="78E25BCE" w14:textId="77777777"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iCs/>
          <w:color w:val="000000"/>
          <w:sz w:val="20"/>
          <w:szCs w:val="20"/>
          <w:highlight w:val="yellow"/>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E77A9">
        <w:rPr>
          <w:rFonts w:ascii="Arial" w:hAnsi="Arial" w:cs="Arial"/>
          <w:i/>
          <w:iCs/>
          <w:color w:val="000000" w:themeColor="text1"/>
          <w:sz w:val="20"/>
          <w:szCs w:val="20"/>
          <w:highlight w:val="yellow"/>
        </w:rPr>
        <w:t>(ďalej len „</w:t>
      </w:r>
      <w:r w:rsidRPr="005E77A9">
        <w:rPr>
          <w:rFonts w:ascii="Arial" w:hAnsi="Arial" w:cs="Arial"/>
          <w:b/>
          <w:i/>
          <w:iCs/>
          <w:color w:val="000000" w:themeColor="text1"/>
          <w:sz w:val="20"/>
          <w:szCs w:val="20"/>
          <w:highlight w:val="yellow"/>
        </w:rPr>
        <w:t>Zmluva</w:t>
      </w:r>
      <w:r w:rsidRPr="005E77A9">
        <w:rPr>
          <w:rFonts w:ascii="Arial" w:hAnsi="Arial" w:cs="Arial"/>
          <w:i/>
          <w:iCs/>
          <w:color w:val="000000" w:themeColor="text1"/>
          <w:sz w:val="20"/>
          <w:szCs w:val="20"/>
          <w:highlight w:val="yellow"/>
        </w:rPr>
        <w:t>“)</w:t>
      </w:r>
    </w:p>
    <w:p w14:paraId="510F6C3D" w14:textId="0F764E1A" w:rsidR="00422917" w:rsidRDefault="00422917" w:rsidP="00422917">
      <w:pPr>
        <w:pStyle w:val="Normlnywebov"/>
        <w:spacing w:before="0" w:beforeAutospacing="0" w:after="0" w:afterAutospacing="0"/>
        <w:jc w:val="center"/>
        <w:rPr>
          <w:rFonts w:ascii="Arial" w:hAnsi="Arial" w:cs="Arial"/>
          <w:sz w:val="20"/>
          <w:szCs w:val="20"/>
        </w:rPr>
      </w:pPr>
    </w:p>
    <w:p w14:paraId="489EFD4F" w14:textId="16688C94" w:rsidR="00783E53" w:rsidRDefault="00783E53" w:rsidP="00422917">
      <w:pPr>
        <w:pStyle w:val="Normlnywebov"/>
        <w:spacing w:before="0" w:beforeAutospacing="0" w:after="0" w:afterAutospacing="0"/>
        <w:jc w:val="center"/>
        <w:rPr>
          <w:rFonts w:ascii="Arial" w:hAnsi="Arial" w:cs="Arial"/>
          <w:sz w:val="20"/>
          <w:szCs w:val="20"/>
        </w:rPr>
      </w:pPr>
    </w:p>
    <w:p w14:paraId="43E5CB2E" w14:textId="77777777" w:rsidR="00783E53" w:rsidRPr="005E77A9" w:rsidRDefault="00783E53"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7A0DEF7D" w:rsidR="00563DBA" w:rsidRPr="005E77A9" w:rsidRDefault="00E25626">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0C7887" w:rsidRPr="005E77A9">
              <w:rPr>
                <w:sz w:val="20"/>
              </w:rPr>
              <w:t xml:space="preserve">Ing. </w:t>
            </w:r>
            <w:r w:rsidR="00400CFC" w:rsidRPr="005E77A9">
              <w:rPr>
                <w:sz w:val="20"/>
              </w:rPr>
              <w:t xml:space="preserve">Zoltán </w:t>
            </w:r>
            <w:r w:rsidR="00664A83">
              <w:rPr>
                <w:sz w:val="20"/>
              </w:rPr>
              <w:t>Á</w:t>
            </w:r>
            <w:r w:rsidR="00400CFC" w:rsidRPr="005E77A9">
              <w:rPr>
                <w:sz w:val="20"/>
              </w:rPr>
              <w:t>cs</w:t>
            </w:r>
            <w:r w:rsidR="000C7887" w:rsidRPr="005E77A9">
              <w:rPr>
                <w:sz w:val="20"/>
              </w:rPr>
              <w:t>, predseda predstavenstva</w:t>
            </w:r>
          </w:p>
          <w:p w14:paraId="7C8624DA" w14:textId="3DB1A923" w:rsidR="00FF46DE" w:rsidRPr="005E77A9" w:rsidRDefault="00907A88">
            <w:pPr>
              <w:spacing w:line="240" w:lineRule="auto"/>
              <w:ind w:left="2880" w:firstLine="720"/>
              <w:jc w:val="both"/>
              <w:rPr>
                <w:sz w:val="20"/>
              </w:rPr>
            </w:pPr>
            <w:r>
              <w:rPr>
                <w:sz w:val="20"/>
              </w:rPr>
              <w:t>Mgr. Roman Kiss</w:t>
            </w:r>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61B06D24" w:rsidR="00563DBA" w:rsidRDefault="00563DBA">
      <w:pPr>
        <w:widowControl w:val="0"/>
        <w:tabs>
          <w:tab w:val="left" w:pos="0"/>
        </w:tabs>
        <w:spacing w:line="240" w:lineRule="auto"/>
        <w:jc w:val="both"/>
        <w:rPr>
          <w:sz w:val="20"/>
        </w:rPr>
      </w:pPr>
    </w:p>
    <w:p w14:paraId="4857D837" w14:textId="77777777" w:rsidR="00783E53" w:rsidRPr="005E77A9" w:rsidRDefault="00783E53">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D0EA386" w:rsidR="00E25626" w:rsidRDefault="00E25626" w:rsidP="00B757CF">
      <w:pPr>
        <w:spacing w:line="240" w:lineRule="auto"/>
        <w:jc w:val="both"/>
        <w:rPr>
          <w:sz w:val="20"/>
        </w:rPr>
      </w:pPr>
    </w:p>
    <w:p w14:paraId="65A43AF2" w14:textId="77777777" w:rsidR="00783E53" w:rsidRPr="005E77A9" w:rsidRDefault="00783E53"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21110549" w14:textId="5B848EBE"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783E53">
        <w:rPr>
          <w:rFonts w:ascii="Arial" w:hAnsi="Arial" w:cs="Arial"/>
          <w:sz w:val="20"/>
          <w:szCs w:val="20"/>
        </w:rPr>
        <w:t>je výlučným</w:t>
      </w:r>
      <w:r w:rsidRPr="005E77A9">
        <w:rPr>
          <w:rFonts w:ascii="Arial" w:hAnsi="Arial" w:cs="Arial"/>
          <w:sz w:val="20"/>
          <w:szCs w:val="20"/>
        </w:rPr>
        <w:t xml:space="preserve"> vlastníkom stavby </w:t>
      </w:r>
      <w:r w:rsidR="00783E53">
        <w:rPr>
          <w:rFonts w:ascii="Arial" w:hAnsi="Arial" w:cs="Arial"/>
          <w:sz w:val="20"/>
          <w:szCs w:val="20"/>
        </w:rPr>
        <w:t>–</w:t>
      </w:r>
      <w:r w:rsidRPr="005E77A9">
        <w:rPr>
          <w:rFonts w:ascii="Arial" w:hAnsi="Arial" w:cs="Arial"/>
          <w:sz w:val="20"/>
          <w:szCs w:val="20"/>
        </w:rPr>
        <w:t xml:space="preserve"> </w:t>
      </w:r>
      <w:r w:rsidR="00783E53">
        <w:rPr>
          <w:rFonts w:ascii="Arial" w:eastAsia="Arial Unicode MS" w:hAnsi="Arial" w:cs="Arial"/>
          <w:sz w:val="20"/>
          <w:szCs w:val="20"/>
        </w:rPr>
        <w:t xml:space="preserve">sklad č. 5 </w:t>
      </w:r>
      <w:r w:rsidRPr="005E77A9">
        <w:rPr>
          <w:rFonts w:ascii="Arial" w:hAnsi="Arial" w:cs="Arial"/>
          <w:sz w:val="20"/>
          <w:szCs w:val="20"/>
        </w:rPr>
        <w:t xml:space="preserve">so súpisným číslom </w:t>
      </w:r>
      <w:r w:rsidR="00783E53">
        <w:rPr>
          <w:rFonts w:ascii="Arial" w:hAnsi="Arial" w:cs="Arial"/>
          <w:sz w:val="20"/>
          <w:szCs w:val="20"/>
        </w:rPr>
        <w:t>4074</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783E53">
        <w:rPr>
          <w:rFonts w:ascii="Arial" w:hAnsi="Arial" w:cs="Arial"/>
          <w:sz w:val="20"/>
          <w:szCs w:val="20"/>
        </w:rPr>
        <w:t>1667/14</w:t>
      </w:r>
      <w:r w:rsidRPr="005E77A9">
        <w:rPr>
          <w:rFonts w:ascii="Arial" w:hAnsi="Arial" w:cs="Arial"/>
          <w:sz w:val="20"/>
          <w:szCs w:val="20"/>
        </w:rPr>
        <w:t xml:space="preserve">, o výmere </w:t>
      </w:r>
      <w:r w:rsidR="00783E53">
        <w:rPr>
          <w:rFonts w:ascii="Arial" w:hAnsi="Arial" w:cs="Arial"/>
          <w:sz w:val="20"/>
          <w:szCs w:val="20"/>
        </w:rPr>
        <w:t>1780</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783E53">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sidR="00783E53">
        <w:rPr>
          <w:rFonts w:ascii="Arial" w:hAnsi="Arial" w:cs="Arial"/>
          <w:sz w:val="20"/>
          <w:szCs w:val="20"/>
        </w:rPr>
        <w:t>11263</w:t>
      </w:r>
      <w:r w:rsidRPr="005E77A9">
        <w:rPr>
          <w:rFonts w:ascii="Arial" w:hAnsi="Arial" w:cs="Arial"/>
          <w:sz w:val="20"/>
          <w:szCs w:val="20"/>
        </w:rPr>
        <w:t xml:space="preserve">, vedenom Okresným úradom </w:t>
      </w:r>
      <w:r w:rsidR="00783E53" w:rsidRPr="00F21B0F">
        <w:rPr>
          <w:rFonts w:ascii="Arial" w:eastAsia="Arial Unicode MS" w:hAnsi="Arial" w:cs="Arial"/>
          <w:sz w:val="20"/>
          <w:szCs w:val="20"/>
        </w:rPr>
        <w:t>Komárno</w:t>
      </w:r>
      <w:r w:rsidR="00783E53" w:rsidRPr="00F21B0F">
        <w:rPr>
          <w:rFonts w:ascii="Arial" w:hAnsi="Arial" w:cs="Arial"/>
          <w:sz w:val="20"/>
          <w:szCs w:val="20"/>
        </w:rPr>
        <w:t xml:space="preserve">, katastrálny odbor, okres: </w:t>
      </w:r>
      <w:r w:rsidR="00783E53" w:rsidRPr="00F21B0F">
        <w:rPr>
          <w:rFonts w:ascii="Arial" w:eastAsia="Arial Unicode MS" w:hAnsi="Arial" w:cs="Arial"/>
          <w:sz w:val="20"/>
          <w:szCs w:val="20"/>
        </w:rPr>
        <w:t>Komárno</w:t>
      </w:r>
      <w:r w:rsidR="00783E53" w:rsidRPr="00F21B0F">
        <w:rPr>
          <w:rFonts w:ascii="Arial" w:hAnsi="Arial" w:cs="Arial"/>
          <w:sz w:val="20"/>
          <w:szCs w:val="20"/>
        </w:rPr>
        <w:t xml:space="preserve">, obec: </w:t>
      </w:r>
      <w:r w:rsidR="00783E53" w:rsidRPr="00F21B0F">
        <w:rPr>
          <w:rFonts w:ascii="Arial" w:eastAsia="Arial Unicode MS" w:hAnsi="Arial" w:cs="Arial"/>
          <w:sz w:val="20"/>
          <w:szCs w:val="20"/>
        </w:rPr>
        <w:t>Komárno</w:t>
      </w:r>
      <w:r w:rsidR="00783E53" w:rsidRPr="00F21B0F">
        <w:rPr>
          <w:rFonts w:ascii="Arial" w:hAnsi="Arial" w:cs="Arial"/>
          <w:sz w:val="20"/>
          <w:szCs w:val="20"/>
        </w:rPr>
        <w:t xml:space="preserve">, katastrálne územie: </w:t>
      </w:r>
      <w:r w:rsidR="00783E53" w:rsidRPr="00F21B0F">
        <w:rPr>
          <w:rFonts w:ascii="Arial" w:eastAsia="Arial Unicode MS" w:hAnsi="Arial" w:cs="Arial"/>
          <w:sz w:val="20"/>
          <w:szCs w:val="20"/>
        </w:rPr>
        <w:t>Komárno</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4242B641"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r w:rsidR="00783E53">
        <w:rPr>
          <w:color w:val="auto"/>
          <w:sz w:val="20"/>
        </w:rPr>
        <w:t>bloku</w:t>
      </w:r>
      <w:r w:rsidRPr="005E77A9">
        <w:rPr>
          <w:color w:val="auto"/>
          <w:sz w:val="20"/>
        </w:rPr>
        <w:t xml:space="preserve"> č. </w:t>
      </w:r>
      <w:r w:rsidR="00783E53">
        <w:rPr>
          <w:color w:val="auto"/>
          <w:sz w:val="20"/>
        </w:rPr>
        <w:t>1.02</w:t>
      </w:r>
      <w:r w:rsidRPr="005E77A9">
        <w:rPr>
          <w:color w:val="auto"/>
          <w:sz w:val="20"/>
        </w:rPr>
        <w:t>,</w:t>
      </w:r>
      <w:r w:rsidRPr="005E77A9">
        <w:rPr>
          <w:b/>
          <w:bCs/>
          <w:color w:val="auto"/>
          <w:sz w:val="20"/>
        </w:rPr>
        <w:t xml:space="preserve"> </w:t>
      </w:r>
      <w:r w:rsidRPr="005E77A9">
        <w:rPr>
          <w:color w:val="auto"/>
          <w:sz w:val="20"/>
        </w:rPr>
        <w:t xml:space="preserve">o výmere </w:t>
      </w:r>
      <w:r w:rsidR="00783E53">
        <w:rPr>
          <w:color w:val="auto"/>
          <w:sz w:val="20"/>
        </w:rPr>
        <w:t xml:space="preserve">195,63 </w:t>
      </w:r>
      <w:r w:rsidRPr="005E77A9">
        <w:rPr>
          <w:color w:val="auto"/>
          <w:sz w:val="20"/>
        </w:rPr>
        <w:t>m</w:t>
      </w:r>
      <w:r w:rsidRPr="005E77A9">
        <w:rPr>
          <w:color w:val="auto"/>
          <w:sz w:val="20"/>
          <w:vertAlign w:val="superscript"/>
        </w:rPr>
        <w:t>2</w:t>
      </w:r>
      <w:r w:rsidRPr="005E77A9">
        <w:rPr>
          <w:color w:val="auto"/>
          <w:sz w:val="20"/>
        </w:rPr>
        <w:t>, nachádzajúceho sa v Stavbe</w:t>
      </w:r>
      <w:r w:rsidRPr="005E77A9">
        <w:rPr>
          <w:b/>
          <w:bCs/>
          <w:color w:val="auto"/>
          <w:sz w:val="20"/>
        </w:rPr>
        <w:t xml:space="preserve"> </w:t>
      </w:r>
      <w:r w:rsidRPr="005E77A9">
        <w:rPr>
          <w:color w:val="auto"/>
          <w:sz w:val="20"/>
        </w:rPr>
        <w:t xml:space="preserve">na </w:t>
      </w:r>
      <w:r w:rsidR="00783E53" w:rsidRPr="00F21B0F">
        <w:rPr>
          <w:sz w:val="20"/>
        </w:rPr>
        <w:t>nadzemnom podlaží č. 1</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456ABA4"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15F2914" w:rsidR="00D83815" w:rsidRDefault="00054C65" w:rsidP="00851A68">
      <w:pPr>
        <w:spacing w:line="240" w:lineRule="auto"/>
        <w:ind w:left="690" w:hanging="720"/>
        <w:jc w:val="both"/>
        <w:rPr>
          <w:sz w:val="20"/>
        </w:rPr>
      </w:pPr>
      <w:r w:rsidRPr="005E77A9">
        <w:rPr>
          <w:b/>
          <w:sz w:val="20"/>
        </w:rPr>
        <w:lastRenderedPageBreak/>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nie je možné zmeniť inak, než na základe dohody s Prenajímateľom vo forme písomného dodatku k tejto Zmluve, ktorého platnosť je podmienená súhlasom Ministerstva dopravy a výstavby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D489A08"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piatich (5) rokov odo dňa účinnosti tejto Zmluvy podľa článku 12 bod </w:t>
      </w:r>
      <w:r w:rsidR="00F839EB" w:rsidRPr="00783E53">
        <w:rPr>
          <w:sz w:val="20"/>
        </w:rPr>
        <w:t>12.</w:t>
      </w:r>
      <w:r w:rsidR="005E01DC" w:rsidRPr="00783E53">
        <w:rPr>
          <w:sz w:val="20"/>
        </w:rPr>
        <w:t>5</w:t>
      </w:r>
      <w:r w:rsidR="00E00C86" w:rsidRPr="00783E5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57E51BD5" w14:textId="07878542" w:rsidR="00054C65" w:rsidRPr="005E77A9" w:rsidRDefault="00054C65" w:rsidP="00054C65">
      <w:pPr>
        <w:spacing w:line="240" w:lineRule="auto"/>
        <w:ind w:left="690" w:hanging="720"/>
        <w:jc w:val="both"/>
        <w:rPr>
          <w:sz w:val="20"/>
        </w:rPr>
      </w:pPr>
      <w:r w:rsidRPr="005E77A9">
        <w:rPr>
          <w:b/>
          <w:sz w:val="20"/>
        </w:rPr>
        <w:t>4.5</w:t>
      </w:r>
      <w:r w:rsidRPr="005E77A9">
        <w:rPr>
          <w:sz w:val="20"/>
        </w:rPr>
        <w:tab/>
      </w:r>
      <w:r w:rsidR="00CC0670" w:rsidRPr="005E77A9">
        <w:rPr>
          <w:sz w:val="20"/>
        </w:rPr>
        <w:t xml:space="preserve">Odstúpenie od </w:t>
      </w:r>
      <w:r w:rsidR="001B26CB" w:rsidRPr="005E77A9">
        <w:rPr>
          <w:sz w:val="20"/>
        </w:rPr>
        <w:t xml:space="preserve">tejto </w:t>
      </w:r>
      <w:r w:rsidR="00CC0670" w:rsidRPr="005E77A9">
        <w:rPr>
          <w:sz w:val="20"/>
        </w:rPr>
        <w:t xml:space="preserve">Zmluvy je účinné a teda </w:t>
      </w:r>
      <w:r w:rsidR="001B26CB" w:rsidRPr="005E77A9">
        <w:rPr>
          <w:sz w:val="20"/>
        </w:rPr>
        <w:t xml:space="preserve">táto </w:t>
      </w:r>
      <w:r w:rsidR="00CC0670" w:rsidRPr="005E77A9">
        <w:rPr>
          <w:sz w:val="20"/>
        </w:rPr>
        <w:t xml:space="preserve">Zmluva zaniká dňom doručenia písomného oznámenia o odstúpení od </w:t>
      </w:r>
      <w:r w:rsidR="001B26CB" w:rsidRPr="005E77A9">
        <w:rPr>
          <w:sz w:val="20"/>
        </w:rPr>
        <w:t xml:space="preserve">tejto </w:t>
      </w:r>
      <w:r w:rsidR="00CC0670" w:rsidRPr="005E77A9">
        <w:rPr>
          <w:sz w:val="20"/>
        </w:rPr>
        <w:t xml:space="preserve">Zmluvy druhej Zmluvnej strane. Prenajímateľ je povinný v písomnom oznámení o odstúpení od </w:t>
      </w:r>
      <w:r w:rsidR="001B26CB" w:rsidRPr="005E77A9">
        <w:rPr>
          <w:sz w:val="20"/>
        </w:rPr>
        <w:t xml:space="preserve">tejto </w:t>
      </w:r>
      <w:r w:rsidR="00CC0670" w:rsidRPr="005E77A9">
        <w:rPr>
          <w:sz w:val="20"/>
        </w:rPr>
        <w:t xml:space="preserve">Zmluvy poskytnúť Nájomcovi primeranú lehotu na vypratanie Predmetu nájmu. Odstúpenie od </w:t>
      </w:r>
      <w:r w:rsidR="001B26CB" w:rsidRPr="005E77A9">
        <w:rPr>
          <w:sz w:val="20"/>
        </w:rPr>
        <w:t xml:space="preserve">tejto </w:t>
      </w:r>
      <w:r w:rsidR="00CC0670" w:rsidRPr="005E77A9">
        <w:rPr>
          <w:sz w:val="20"/>
        </w:rPr>
        <w:t>Zmluvy sa nedotýka nárokov na náhradu škody, ani nárokov na zaplatenie zmluvnej pokuty.</w:t>
      </w:r>
    </w:p>
    <w:p w14:paraId="0B69AF1F" w14:textId="77777777" w:rsidR="00054C65" w:rsidRPr="005E77A9" w:rsidRDefault="00054C65" w:rsidP="00054C65">
      <w:pPr>
        <w:spacing w:line="240" w:lineRule="auto"/>
        <w:ind w:left="690" w:hanging="720"/>
        <w:jc w:val="both"/>
        <w:rPr>
          <w:sz w:val="20"/>
        </w:rPr>
      </w:pP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lastRenderedPageBreak/>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F93753">
        <w:rPr>
          <w:b/>
          <w:color w:val="000000" w:themeColor="text1"/>
          <w:sz w:val="20"/>
        </w:rPr>
        <w:t>4.1</w:t>
      </w:r>
      <w:r w:rsidR="00E25626" w:rsidRPr="00F93753">
        <w:rPr>
          <w:b/>
          <w:color w:val="000000" w:themeColor="text1"/>
          <w:sz w:val="20"/>
        </w:rPr>
        <w:t>0</w:t>
      </w:r>
      <w:r w:rsidRPr="00F93753">
        <w:rPr>
          <w:b/>
          <w:color w:val="000000" w:themeColor="text1"/>
          <w:sz w:val="20"/>
        </w:rPr>
        <w:tab/>
      </w:r>
      <w:r w:rsidRPr="00F93753">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56260A6D" w14:textId="70031688" w:rsidR="004A1DA6" w:rsidRDefault="00054C65" w:rsidP="00BC7F2B">
      <w:pPr>
        <w:spacing w:line="240" w:lineRule="auto"/>
        <w:ind w:left="690" w:hanging="720"/>
        <w:jc w:val="both"/>
        <w:rPr>
          <w:sz w:val="20"/>
        </w:rPr>
      </w:pPr>
      <w:r w:rsidRPr="005E77A9">
        <w:rPr>
          <w:b/>
          <w:sz w:val="20"/>
        </w:rPr>
        <w:t>4.11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AB2CE61"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F93753">
        <w:rPr>
          <w:rFonts w:eastAsia="Times New Roman"/>
          <w:b/>
          <w:bCs/>
          <w:sz w:val="20"/>
        </w:rPr>
        <w:t>195,63</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F93753">
        <w:rPr>
          <w:rFonts w:eastAsia="Times New Roman"/>
          <w:b/>
          <w:bCs/>
          <w:sz w:val="20"/>
        </w:rPr>
        <w:t>+ DPH</w:t>
      </w:r>
      <w:r w:rsidRPr="00F9375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BF81C97"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F93753">
        <w:rPr>
          <w:sz w:val="20"/>
        </w:rPr>
        <w:t>ročne</w:t>
      </w:r>
      <w:r w:rsidRPr="005E77A9">
        <w:rPr>
          <w:sz w:val="20"/>
        </w:rPr>
        <w:t xml:space="preserve"> vopred za každý kalendárny </w:t>
      </w:r>
      <w:r w:rsidR="00F93753">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48BCF8BA"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Nájomné za užívanie Predmetu nájmu za obdobie kratšie než kalendárny</w:t>
      </w:r>
      <w:r w:rsidR="00F93753">
        <w:rPr>
          <w:rFonts w:eastAsia="Times New Roman"/>
          <w:sz w:val="20"/>
        </w:rPr>
        <w:t xml:space="preserve"> 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w:t>
      </w:r>
      <w:r w:rsidR="00F93753">
        <w:rPr>
          <w:rFonts w:eastAsia="Times New Roman"/>
          <w:sz w:val="20"/>
        </w:rPr>
        <w:t xml:space="preserve"> roku</w:t>
      </w:r>
      <w:r w:rsidRPr="005E77A9">
        <w:rPr>
          <w:rFonts w:eastAsia="Arial Unicode MS"/>
          <w:sz w:val="20"/>
        </w:rPr>
        <w:t xml:space="preserve"> </w:t>
      </w:r>
      <w:r w:rsidRPr="00F93753">
        <w:rPr>
          <w:rFonts w:eastAsia="Times New Roman"/>
          <w:sz w:val="20"/>
        </w:rPr>
        <w:t>+ DPH</w:t>
      </w:r>
      <w:r w:rsidRPr="005E77A9">
        <w:rPr>
          <w:rFonts w:eastAsia="Times New Roman"/>
          <w:sz w:val="20"/>
        </w:rPr>
        <w:t>. Alikvotnú časť Nájomného za prvý kalendárny</w:t>
      </w:r>
      <w:r w:rsidR="00F93753">
        <w:rPr>
          <w:rFonts w:eastAsia="Times New Roman"/>
          <w:sz w:val="20"/>
        </w:rPr>
        <w:t xml:space="preserve"> 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desať (10)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5335AA8B" w14:textId="1DEC89DC" w:rsidR="00054C65" w:rsidRDefault="00054C65" w:rsidP="006127C6">
      <w:pPr>
        <w:spacing w:line="240" w:lineRule="auto"/>
        <w:ind w:left="690" w:hanging="720"/>
        <w:jc w:val="both"/>
        <w:rPr>
          <w:rFonts w:eastAsia="Times New Roman"/>
          <w:sz w:val="20"/>
        </w:rPr>
      </w:pPr>
      <w:r w:rsidRPr="00F93753">
        <w:rPr>
          <w:b/>
          <w:sz w:val="20"/>
        </w:rPr>
        <w:t>5.</w:t>
      </w:r>
      <w:r w:rsidR="00736119" w:rsidRPr="00F93753">
        <w:rPr>
          <w:b/>
          <w:sz w:val="20"/>
        </w:rPr>
        <w:t>4</w:t>
      </w:r>
      <w:r w:rsidRPr="00F93753">
        <w:rPr>
          <w:sz w:val="20"/>
        </w:rPr>
        <w:t xml:space="preserve">       </w:t>
      </w:r>
      <w:r w:rsidRPr="00F93753">
        <w:rPr>
          <w:sz w:val="20"/>
        </w:rPr>
        <w:tab/>
      </w:r>
      <w:r w:rsidR="004B2C68" w:rsidRPr="00F93753">
        <w:rPr>
          <w:rFonts w:eastAsia="Times New Roman"/>
          <w:sz w:val="20"/>
        </w:rPr>
        <w:t>Nájomné nezahŕňa vodné, stočné, dodávku elektrickej energie, dodávku tepla, ani žiadnych iných médií a ostatných služieb spojených s užívaním Predmetu nájmu (ďalej aj ako „</w:t>
      </w:r>
      <w:r w:rsidR="004B2C68" w:rsidRPr="00F93753">
        <w:rPr>
          <w:rFonts w:eastAsia="Times New Roman"/>
          <w:b/>
          <w:sz w:val="20"/>
        </w:rPr>
        <w:t>Médiá</w:t>
      </w:r>
      <w:r w:rsidR="004B2C68" w:rsidRPr="00F93753">
        <w:rPr>
          <w:rFonts w:eastAsia="Times New Roman"/>
          <w:sz w:val="20"/>
        </w:rPr>
        <w:t xml:space="preserve">“). Zmluvné </w:t>
      </w:r>
      <w:r w:rsidR="004B2C68" w:rsidRPr="00F93753">
        <w:rPr>
          <w:rFonts w:eastAsia="Times New Roman"/>
          <w:sz w:val="20"/>
        </w:rPr>
        <w:lastRenderedPageBreak/>
        <w:t>strany berú na vedomie a súhlasia s tým, že dodávky Médií nie je Prenajímateľ povinný Nájomcovi zabezpečiť a nie je povinný na takýto účel vybudovať žiadne inžinierske siete, ani znášať akékoľvek náklady.</w:t>
      </w:r>
    </w:p>
    <w:p w14:paraId="16719185" w14:textId="1DE85191" w:rsidR="0001323F" w:rsidRDefault="0001323F" w:rsidP="006127C6">
      <w:pPr>
        <w:spacing w:line="240" w:lineRule="auto"/>
        <w:ind w:left="690" w:hanging="720"/>
        <w:jc w:val="both"/>
        <w:rPr>
          <w:rFonts w:eastAsia="Times New Roman"/>
          <w:sz w:val="20"/>
        </w:rPr>
      </w:pPr>
    </w:p>
    <w:p w14:paraId="3F52CA7A" w14:textId="5049AFF0" w:rsidR="00054C65" w:rsidRPr="005E77A9" w:rsidRDefault="0001323F" w:rsidP="00822D57">
      <w:pPr>
        <w:spacing w:line="240" w:lineRule="auto"/>
        <w:ind w:left="690" w:hanging="720"/>
        <w:jc w:val="both"/>
        <w:rPr>
          <w:sz w:val="20"/>
        </w:rPr>
      </w:pPr>
      <w:r w:rsidRPr="00F93753">
        <w:rPr>
          <w:b/>
          <w:sz w:val="20"/>
        </w:rPr>
        <w:t>5.4</w:t>
      </w:r>
      <w:r w:rsidRPr="00F93753">
        <w:rPr>
          <w:sz w:val="20"/>
        </w:rPr>
        <w:t xml:space="preserve">       </w:t>
      </w:r>
      <w:r w:rsidRPr="00F93753">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F93753">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5E77A9">
        <w:rPr>
          <w:b/>
          <w:sz w:val="20"/>
        </w:rPr>
        <w:t>5.6</w:t>
      </w:r>
      <w:r w:rsidRPr="005E77A9">
        <w:rPr>
          <w:sz w:val="20"/>
        </w:rPr>
        <w:t xml:space="preserve">     </w:t>
      </w:r>
      <w:r w:rsidRPr="005E77A9">
        <w:rPr>
          <w:sz w:val="20"/>
        </w:rPr>
        <w:tab/>
        <w:t xml:space="preserve">Zmluvné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586DA152" w:rsidR="00DC09A4" w:rsidRPr="005E77A9" w:rsidRDefault="00054C65" w:rsidP="00822D57">
      <w:pPr>
        <w:pStyle w:val="Normlny10"/>
        <w:spacing w:line="240" w:lineRule="auto"/>
        <w:ind w:left="692" w:hanging="720"/>
        <w:jc w:val="both"/>
        <w:outlineLvl w:val="2"/>
        <w:rPr>
          <w:sz w:val="20"/>
          <w:szCs w:val="20"/>
        </w:rPr>
      </w:pPr>
      <w:r w:rsidRPr="005E77A9">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F93753" w:rsidRPr="00F21B0F">
        <w:rPr>
          <w:rFonts w:eastAsia="Arial Unicode MS"/>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do piatich (5)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072F43C" w:rsidR="005B6F96" w:rsidRPr="005E77A9" w:rsidRDefault="00DC09A4" w:rsidP="00B60DB0">
      <w:pPr>
        <w:pStyle w:val="Normlny10"/>
        <w:spacing w:line="240" w:lineRule="auto"/>
        <w:ind w:left="692" w:hanging="692"/>
        <w:jc w:val="both"/>
        <w:outlineLvl w:val="2"/>
        <w:rPr>
          <w:sz w:val="20"/>
          <w:szCs w:val="20"/>
        </w:rPr>
      </w:pPr>
      <w:r w:rsidRPr="005E77A9">
        <w:rPr>
          <w:b/>
          <w:bCs/>
          <w:sz w:val="20"/>
          <w:szCs w:val="20"/>
        </w:rPr>
        <w:t>5.8</w:t>
      </w:r>
      <w:r w:rsidRPr="005E77A9">
        <w:rPr>
          <w:b/>
          <w:bCs/>
          <w:sz w:val="20"/>
          <w:szCs w:val="20"/>
        </w:rPr>
        <w:tab/>
      </w:r>
      <w:r w:rsidR="005B6F96" w:rsidRPr="005E77A9">
        <w:rPr>
          <w:sz w:val="20"/>
          <w:szCs w:val="20"/>
        </w:rPr>
        <w:t xml:space="preserve">Zmluvné strany sa dohodli, že po uplynutí každého kalendárneho roka trvania nájmu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štrnástich (14)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5E77A9" w:rsidRDefault="00DC09A4" w:rsidP="00D566F9">
      <w:pPr>
        <w:pStyle w:val="Normlny10"/>
        <w:spacing w:line="240" w:lineRule="auto"/>
        <w:ind w:left="692" w:hanging="692"/>
        <w:jc w:val="both"/>
        <w:outlineLvl w:val="2"/>
        <w:rPr>
          <w:sz w:val="20"/>
          <w:szCs w:val="20"/>
        </w:rPr>
      </w:pPr>
      <w:bookmarkStart w:id="1" w:name="_Ref512354487"/>
      <w:r w:rsidRPr="005E77A9">
        <w:rPr>
          <w:b/>
          <w:bCs/>
          <w:sz w:val="20"/>
          <w:szCs w:val="20"/>
        </w:rPr>
        <w:t>5.9</w:t>
      </w:r>
      <w:r w:rsidRPr="005E77A9">
        <w:rPr>
          <w:b/>
          <w:bCs/>
          <w:sz w:val="20"/>
          <w:szCs w:val="20"/>
        </w:rPr>
        <w:tab/>
      </w:r>
      <w:r w:rsidR="005B6F96" w:rsidRPr="005E77A9">
        <w:rPr>
          <w:sz w:val="20"/>
          <w:szCs w:val="20"/>
        </w:rPr>
        <w:t xml:space="preserve">Prenajímateľ je oprávnený každoročne počas trvania tejto Zmluvy zabezpečiť vypracovanie znaleckého posudku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bodu </w:t>
      </w:r>
      <w:r w:rsidRPr="005E77A9">
        <w:rPr>
          <w:sz w:val="20"/>
          <w:szCs w:val="20"/>
        </w:rPr>
        <w:t>5.8</w:t>
      </w:r>
      <w:r w:rsidR="005B6F96" w:rsidRPr="005E77A9">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E77A9">
        <w:rPr>
          <w:sz w:val="20"/>
          <w:szCs w:val="20"/>
        </w:rPr>
        <w:t>5.10</w:t>
      </w:r>
      <w:r w:rsidR="005B6F96" w:rsidRPr="005E77A9">
        <w:rPr>
          <w:sz w:val="20"/>
          <w:szCs w:val="20"/>
        </w:rPr>
        <w:t xml:space="preserve"> a v prípade, ak Nájomca neuplatnil svoje právo vypovedať túto Zmluvu podľa bodu </w:t>
      </w:r>
      <w:r w:rsidRPr="005E77A9">
        <w:rPr>
          <w:sz w:val="20"/>
          <w:szCs w:val="20"/>
        </w:rPr>
        <w:t>5.10</w:t>
      </w:r>
      <w:bookmarkEnd w:id="1"/>
      <w:r w:rsidR="00E00C86">
        <w:rPr>
          <w:sz w:val="20"/>
          <w:szCs w:val="20"/>
        </w:rPr>
        <w:t>.</w:t>
      </w:r>
    </w:p>
    <w:p w14:paraId="1E157530" w14:textId="77777777" w:rsidR="00822D57" w:rsidRPr="005E77A9"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2" w:name="_Ref512354267"/>
      <w:r w:rsidRPr="005E77A9">
        <w:rPr>
          <w:b/>
          <w:bCs/>
          <w:sz w:val="20"/>
          <w:szCs w:val="20"/>
        </w:rPr>
        <w:t>5.10</w:t>
      </w:r>
      <w:r w:rsidRPr="005E77A9">
        <w:rPr>
          <w:b/>
          <w:bCs/>
          <w:sz w:val="20"/>
          <w:szCs w:val="20"/>
        </w:rPr>
        <w:tab/>
      </w:r>
      <w:r w:rsidR="005B6F96" w:rsidRPr="005E77A9">
        <w:rPr>
          <w:sz w:val="20"/>
          <w:szCs w:val="20"/>
        </w:rPr>
        <w:t xml:space="preserve">O úprave Nájomného podľa bodu </w:t>
      </w:r>
      <w:r w:rsidR="00326CE5" w:rsidRPr="005E77A9">
        <w:rPr>
          <w:sz w:val="20"/>
          <w:szCs w:val="20"/>
        </w:rPr>
        <w:t>5.9</w:t>
      </w:r>
      <w:r w:rsidR="005B6F96" w:rsidRPr="005E77A9">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E77A9">
        <w:rPr>
          <w:sz w:val="20"/>
          <w:szCs w:val="20"/>
        </w:rPr>
        <w:t>5.9</w:t>
      </w:r>
      <w:r w:rsidR="005B6F96" w:rsidRPr="005E77A9">
        <w:rPr>
          <w:sz w:val="20"/>
          <w:szCs w:val="20"/>
        </w:rPr>
        <w:t xml:space="preserve">, prípadne zvýšeného podľa bodu </w:t>
      </w:r>
      <w:r w:rsidR="00326CE5" w:rsidRPr="005E77A9">
        <w:rPr>
          <w:sz w:val="20"/>
          <w:szCs w:val="20"/>
        </w:rPr>
        <w:t>5.8</w:t>
      </w:r>
      <w:bookmarkEnd w:id="2"/>
      <w:r w:rsidR="00E00C86">
        <w:rPr>
          <w:sz w:val="20"/>
          <w:szCs w:val="20"/>
        </w:rPr>
        <w:t>.</w:t>
      </w:r>
    </w:p>
    <w:p w14:paraId="02988577" w14:textId="3D06D386"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F93753">
        <w:rPr>
          <w:b/>
          <w:bCs/>
          <w:sz w:val="20"/>
          <w:szCs w:val="20"/>
        </w:rPr>
        <w:t>5.11</w:t>
      </w:r>
      <w:r w:rsidRPr="00F93753">
        <w:rPr>
          <w:sz w:val="20"/>
          <w:szCs w:val="20"/>
        </w:rPr>
        <w:t xml:space="preserve"> </w:t>
      </w:r>
      <w:r w:rsidRPr="00F93753">
        <w:rPr>
          <w:sz w:val="20"/>
          <w:szCs w:val="20"/>
        </w:rPr>
        <w:tab/>
        <w:t>Zmluvné strany sa dohodli, že daň z nehnuteľnosti tvoriacej Predmet nájmu podľa tejto Zmluvy hradí Prenajímateľ.</w:t>
      </w:r>
    </w:p>
    <w:p w14:paraId="4170BB65" w14:textId="6262F7E7" w:rsidR="00434B2F" w:rsidRPr="005E77A9" w:rsidRDefault="005B6F96" w:rsidP="0032253C">
      <w:pPr>
        <w:spacing w:line="240" w:lineRule="auto"/>
        <w:ind w:left="690" w:hanging="832"/>
        <w:jc w:val="both"/>
        <w:rPr>
          <w:b/>
          <w:sz w:val="20"/>
        </w:rPr>
      </w:pPr>
      <w:r w:rsidRPr="005E77A9">
        <w:rPr>
          <w:b/>
          <w:sz w:val="20"/>
        </w:rPr>
        <w:lastRenderedPageBreak/>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60728BA"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Nájomca sa zaväzuje zaplatiť zmluvnú pokutu Prenajímateľovi najneskôr do štrnástich (14) 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0"/>
        <w:gridCol w:w="5245"/>
        <w:gridCol w:w="2020"/>
      </w:tblGrid>
      <w:tr w:rsidR="004A49E0" w:rsidRPr="005E77A9" w14:paraId="13F8C1CF" w14:textId="77777777" w:rsidTr="00F93753">
        <w:tc>
          <w:tcPr>
            <w:tcW w:w="127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52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2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93753">
        <w:tc>
          <w:tcPr>
            <w:tcW w:w="127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52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2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93753">
        <w:tc>
          <w:tcPr>
            <w:tcW w:w="127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52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2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93753">
        <w:tc>
          <w:tcPr>
            <w:tcW w:w="127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52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2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93753">
        <w:tc>
          <w:tcPr>
            <w:tcW w:w="127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52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2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93753">
        <w:tc>
          <w:tcPr>
            <w:tcW w:w="127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52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2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93753">
        <w:tc>
          <w:tcPr>
            <w:tcW w:w="127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52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2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93753">
        <w:tc>
          <w:tcPr>
            <w:tcW w:w="127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52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2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93753">
        <w:tc>
          <w:tcPr>
            <w:tcW w:w="127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52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2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93753">
        <w:tc>
          <w:tcPr>
            <w:tcW w:w="127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lastRenderedPageBreak/>
              <w:t>9.</w:t>
            </w:r>
          </w:p>
        </w:tc>
        <w:tc>
          <w:tcPr>
            <w:tcW w:w="52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2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93753">
        <w:tc>
          <w:tcPr>
            <w:tcW w:w="127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52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2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7BD65711" w14:textId="75D25916" w:rsidR="008E275F" w:rsidRPr="005E77A9" w:rsidRDefault="008E275F" w:rsidP="00D10889">
      <w:pPr>
        <w:spacing w:line="240" w:lineRule="auto"/>
        <w:jc w:val="center"/>
        <w:rPr>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lastRenderedPageBreak/>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1B0955C"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FBB9EF" w14:textId="6291B4C7" w:rsidR="00882A27" w:rsidRPr="00882A27" w:rsidRDefault="00882A27" w:rsidP="00882A27">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 (SAŽP a MŽP SR) a taktiež aj spoločnosti Centrum environmentálnych služieb, s. r. o.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w:t>
      </w:r>
      <w:r w:rsidR="0029661B" w:rsidRPr="005E77A9">
        <w:rPr>
          <w:sz w:val="20"/>
        </w:rPr>
        <w:lastRenderedPageBreak/>
        <w:t>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2D0F82E2" w14:textId="4F66F9C6" w:rsidR="00704D2A" w:rsidRPr="005E77A9" w:rsidRDefault="00E167AF" w:rsidP="00462401">
      <w:pPr>
        <w:spacing w:line="240" w:lineRule="auto"/>
        <w:ind w:left="690" w:hanging="720"/>
        <w:jc w:val="both"/>
        <w:rPr>
          <w:b/>
          <w:sz w:val="20"/>
        </w:rPr>
      </w:pPr>
      <w:r w:rsidRPr="005E77A9">
        <w:rPr>
          <w:b/>
          <w:sz w:val="20"/>
        </w:rPr>
        <w:t>9.</w:t>
      </w:r>
      <w:r w:rsidR="00907A88">
        <w:rPr>
          <w:b/>
          <w:sz w:val="20"/>
        </w:rPr>
        <w:t>4</w:t>
      </w:r>
      <w:r w:rsidRPr="005E77A9">
        <w:rPr>
          <w:sz w:val="20"/>
        </w:rPr>
        <w:tab/>
      </w:r>
      <w:r w:rsidRPr="005E77A9">
        <w:rPr>
          <w:b/>
          <w:sz w:val="20"/>
        </w:rPr>
        <w:t>Životné prostredie:</w:t>
      </w:r>
    </w:p>
    <w:p w14:paraId="4BA5E212" w14:textId="77777777" w:rsidR="0098313B" w:rsidRPr="005E77A9" w:rsidRDefault="0098313B" w:rsidP="00462401">
      <w:pPr>
        <w:spacing w:line="240" w:lineRule="auto"/>
        <w:ind w:left="690" w:hanging="720"/>
        <w:jc w:val="both"/>
        <w:rPr>
          <w:b/>
          <w:sz w:val="20"/>
        </w:rPr>
      </w:pPr>
    </w:p>
    <w:p w14:paraId="3AB2C817" w14:textId="70BDEA11" w:rsidR="0098313B" w:rsidRPr="005E77A9" w:rsidRDefault="00852558" w:rsidP="00852558">
      <w:pPr>
        <w:spacing w:line="240" w:lineRule="auto"/>
        <w:ind w:left="1395" w:hanging="705"/>
        <w:jc w:val="both"/>
        <w:rPr>
          <w:sz w:val="20"/>
        </w:rPr>
      </w:pPr>
      <w:r w:rsidRPr="005E77A9">
        <w:rPr>
          <w:b/>
          <w:sz w:val="20"/>
        </w:rPr>
        <w:t>9.</w:t>
      </w:r>
      <w:r w:rsidR="00907A88">
        <w:rPr>
          <w:b/>
          <w:sz w:val="20"/>
        </w:rPr>
        <w:t>4</w:t>
      </w:r>
      <w:r w:rsidRPr="005E77A9">
        <w:rPr>
          <w:b/>
          <w:sz w:val="20"/>
        </w:rPr>
        <w:t>.1</w:t>
      </w:r>
      <w:r w:rsidRPr="005E77A9">
        <w:rPr>
          <w:sz w:val="20"/>
        </w:rPr>
        <w:tab/>
      </w:r>
      <w:r w:rsidR="0098313B" w:rsidRPr="005E77A9">
        <w:rPr>
          <w:sz w:val="20"/>
        </w:rPr>
        <w:t>Nájomca sa zaväzuje, že bude dodržiavať legislatívu týkajúcu sa ochrany životného prostredia. V prípade porušenia predpisov, znáša v plnom rozsahu prípadnú vzniknutú škodu na životnom prostredí, zdraví a majetku ako aj sankcie zo strany štátnych a iných orgánov;</w:t>
      </w:r>
    </w:p>
    <w:p w14:paraId="61B5B04F" w14:textId="0FFA8A78" w:rsidR="0098313B" w:rsidRPr="005E77A9" w:rsidRDefault="0098313B" w:rsidP="00A16258">
      <w:pPr>
        <w:spacing w:before="120" w:line="240" w:lineRule="auto"/>
        <w:ind w:left="1395" w:hanging="703"/>
        <w:jc w:val="both"/>
        <w:rPr>
          <w:sz w:val="20"/>
        </w:rPr>
      </w:pPr>
      <w:r w:rsidRPr="005E77A9">
        <w:rPr>
          <w:b/>
          <w:sz w:val="20"/>
        </w:rPr>
        <w:t>9.</w:t>
      </w:r>
      <w:r w:rsidR="00907A88">
        <w:rPr>
          <w:b/>
          <w:sz w:val="20"/>
        </w:rPr>
        <w:t>4</w:t>
      </w:r>
      <w:r w:rsidRPr="005E77A9">
        <w:rPr>
          <w:b/>
          <w:sz w:val="20"/>
        </w:rPr>
        <w:t>.2</w:t>
      </w:r>
      <w:r w:rsidRPr="005E77A9">
        <w:rPr>
          <w:b/>
          <w:sz w:val="20"/>
        </w:rPr>
        <w:tab/>
      </w:r>
      <w:r w:rsidRPr="005E77A9">
        <w:rPr>
          <w:sz w:val="20"/>
        </w:rPr>
        <w:t xml:space="preserve">Nájomca je povinný po skončení nájmu Predmet nájmu vypratať a vykonať ekologické vyčistenie Predmetu nájmu pre prípad, že by došlo k jeho ekologickému znečisteniu </w:t>
      </w:r>
      <w:r w:rsidR="000D21DE" w:rsidRPr="005E77A9">
        <w:rPr>
          <w:sz w:val="20"/>
        </w:rPr>
        <w:t xml:space="preserve">                       </w:t>
      </w:r>
      <w:r w:rsidRPr="005E77A9">
        <w:rPr>
          <w:sz w:val="20"/>
        </w:rPr>
        <w:t>v súvislosti  s jeho užívaním;</w:t>
      </w:r>
    </w:p>
    <w:p w14:paraId="61C6BEF2" w14:textId="7C0C999D" w:rsidR="003022BD" w:rsidRPr="005E77A9" w:rsidRDefault="0098313B" w:rsidP="001C3208">
      <w:pPr>
        <w:spacing w:before="120" w:line="240" w:lineRule="auto"/>
        <w:ind w:left="1395" w:hanging="703"/>
        <w:jc w:val="both"/>
        <w:rPr>
          <w:sz w:val="20"/>
        </w:rPr>
      </w:pPr>
      <w:r w:rsidRPr="005E77A9">
        <w:rPr>
          <w:b/>
          <w:bCs/>
          <w:sz w:val="20"/>
        </w:rPr>
        <w:t>9.</w:t>
      </w:r>
      <w:r w:rsidR="00907A88">
        <w:rPr>
          <w:b/>
          <w:bCs/>
          <w:sz w:val="20"/>
        </w:rPr>
        <w:t>4</w:t>
      </w:r>
      <w:r w:rsidRPr="005E77A9">
        <w:rPr>
          <w:b/>
          <w:bCs/>
          <w:sz w:val="20"/>
        </w:rPr>
        <w:t>.3</w:t>
      </w:r>
      <w:r w:rsidRPr="005E77A9">
        <w:rPr>
          <w:b/>
          <w:bCs/>
          <w:sz w:val="20"/>
        </w:rPr>
        <w:tab/>
      </w:r>
      <w:r w:rsidR="00E530E4" w:rsidRPr="005E77A9">
        <w:rPr>
          <w:sz w:val="20"/>
        </w:rPr>
        <w:t xml:space="preserve">Nájomca je povinný </w:t>
      </w:r>
      <w:r w:rsidR="00852558" w:rsidRPr="005E77A9">
        <w:rPr>
          <w:sz w:val="20"/>
        </w:rPr>
        <w:t xml:space="preserve">likvidáciu všetkých vyprodukovaných odpadov zabezpečovať </w:t>
      </w:r>
      <w:r w:rsidR="000E3B10" w:rsidRPr="005E77A9">
        <w:rPr>
          <w:sz w:val="20"/>
        </w:rPr>
        <w:t xml:space="preserve">                        </w:t>
      </w:r>
      <w:r w:rsidR="00852558" w:rsidRPr="005E77A9">
        <w:rPr>
          <w:sz w:val="20"/>
        </w:rPr>
        <w:t>na vlastné náklady, pričom je povinný dodržiavať zákon č. 79/2015 Z. z. o odpadoch a o zmene a doplnení niektorých zákonov v znení neskorších predpisov.</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w:t>
      </w:r>
      <w:r w:rsidRPr="005E77A9">
        <w:rPr>
          <w:sz w:val="20"/>
        </w:rPr>
        <w:lastRenderedPageBreak/>
        <w:t xml:space="preserve">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3B92FF9"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3272441E" w14:textId="77777777" w:rsidR="00907A88" w:rsidRPr="00907A88" w:rsidRDefault="00907A88" w:rsidP="00907A88">
      <w:pPr>
        <w:pStyle w:val="Normlny10"/>
        <w:spacing w:before="120" w:after="120" w:line="233" w:lineRule="auto"/>
        <w:ind w:left="720"/>
        <w:jc w:val="both"/>
        <w:rPr>
          <w:sz w:val="20"/>
          <w:szCs w:val="20"/>
        </w:rPr>
      </w:pPr>
    </w:p>
    <w:p w14:paraId="012CE3BF" w14:textId="55D25876" w:rsidR="003B56E0" w:rsidRPr="005E77A9" w:rsidRDefault="003B56E0" w:rsidP="0056236E">
      <w:pPr>
        <w:pStyle w:val="Normlny10"/>
        <w:spacing w:before="240" w:after="240" w:line="233" w:lineRule="auto"/>
        <w:rPr>
          <w:b/>
          <w:sz w:val="20"/>
          <w:szCs w:val="20"/>
        </w:rPr>
      </w:pPr>
      <w:r w:rsidRPr="005E77A9">
        <w:rPr>
          <w:b/>
          <w:sz w:val="20"/>
          <w:szCs w:val="20"/>
        </w:rPr>
        <w:t>[12]</w:t>
      </w:r>
      <w:r w:rsidRPr="005E77A9">
        <w:rPr>
          <w:sz w:val="20"/>
          <w:szCs w:val="20"/>
        </w:rPr>
        <w:t xml:space="preserve">      </w:t>
      </w:r>
      <w:r w:rsidRPr="005E77A9">
        <w:rPr>
          <w:b/>
          <w:sz w:val="20"/>
          <w:szCs w:val="20"/>
        </w:rPr>
        <w:t>ZÁVEREČNÉ USTANOVENIA</w:t>
      </w:r>
    </w:p>
    <w:p w14:paraId="60C12041" w14:textId="77777777" w:rsidR="00A11EDB" w:rsidRPr="00C46674" w:rsidRDefault="00A11EDB" w:rsidP="00A11EDB">
      <w:pPr>
        <w:spacing w:line="233" w:lineRule="auto"/>
        <w:rPr>
          <w:b/>
          <w:sz w:val="20"/>
        </w:rPr>
      </w:pPr>
      <w:r w:rsidRPr="00C46674">
        <w:rPr>
          <w:b/>
          <w:sz w:val="20"/>
        </w:rPr>
        <w:t>12.</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77777777" w:rsidR="00A11EDB" w:rsidRPr="005E77A9" w:rsidRDefault="00A11EDB" w:rsidP="00A11EDB">
      <w:pPr>
        <w:spacing w:line="233" w:lineRule="auto"/>
        <w:ind w:left="1530" w:hanging="840"/>
        <w:jc w:val="both"/>
        <w:rPr>
          <w:sz w:val="20"/>
        </w:rPr>
      </w:pPr>
      <w:r w:rsidRPr="00C46674">
        <w:rPr>
          <w:b/>
          <w:sz w:val="20"/>
        </w:rPr>
        <w:t>12.</w:t>
      </w:r>
      <w:r>
        <w:rPr>
          <w:b/>
          <w:sz w:val="20"/>
        </w:rPr>
        <w:t>1</w:t>
      </w:r>
      <w:r w:rsidRPr="00C46674">
        <w:rPr>
          <w:b/>
          <w:sz w:val="20"/>
        </w:rPr>
        <w:t>.1</w:t>
      </w:r>
      <w:r w:rsidRPr="00C46674">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a výstavby Slovenskej republiky.</w:t>
      </w:r>
    </w:p>
    <w:p w14:paraId="61D47B03" w14:textId="77777777" w:rsidR="00A11EDB" w:rsidRPr="005E77A9" w:rsidRDefault="00A11EDB" w:rsidP="00A11EDB">
      <w:pPr>
        <w:spacing w:line="233" w:lineRule="auto"/>
        <w:ind w:left="1530" w:hanging="840"/>
        <w:jc w:val="both"/>
        <w:rPr>
          <w:sz w:val="20"/>
        </w:rPr>
      </w:pPr>
    </w:p>
    <w:p w14:paraId="2F800BE4" w14:textId="77777777" w:rsidR="00A11EDB" w:rsidRPr="005E77A9" w:rsidRDefault="00A11EDB" w:rsidP="00A11EDB">
      <w:pPr>
        <w:spacing w:line="233" w:lineRule="auto"/>
        <w:rPr>
          <w:b/>
          <w:sz w:val="20"/>
        </w:rPr>
      </w:pPr>
      <w:r w:rsidRPr="005E77A9">
        <w:rPr>
          <w:b/>
          <w:sz w:val="20"/>
        </w:rPr>
        <w:t>12.</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01963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01923608"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12.</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54AE64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7777777" w:rsidR="00C14F55" w:rsidRDefault="00C14F55" w:rsidP="00C14F55">
      <w:pPr>
        <w:pStyle w:val="Normlny10"/>
        <w:spacing w:before="120" w:after="120"/>
        <w:ind w:left="2385" w:hanging="855"/>
        <w:jc w:val="both"/>
        <w:rPr>
          <w:sz w:val="20"/>
          <w:szCs w:val="20"/>
        </w:rPr>
      </w:pPr>
      <w:r w:rsidRPr="00B73FE5">
        <w:rPr>
          <w:b/>
          <w:sz w:val="20"/>
          <w:szCs w:val="20"/>
        </w:rPr>
        <w:t>12.2.2.1</w:t>
      </w:r>
      <w:r w:rsidRPr="00B73FE5">
        <w:rPr>
          <w:sz w:val="20"/>
          <w:szCs w:val="20"/>
        </w:rPr>
        <w:t xml:space="preserve"> </w:t>
      </w:r>
      <w:r>
        <w:rPr>
          <w:sz w:val="20"/>
          <w:szCs w:val="20"/>
        </w:rPr>
        <w:t xml:space="preserve"> </w:t>
      </w:r>
      <w:r w:rsidRPr="00F911C2">
        <w:rPr>
          <w:sz w:val="20"/>
          <w:szCs w:val="20"/>
        </w:rPr>
        <w:t>na tretí deň odo dňa ich odoslania druhej Zmluvnej strane</w:t>
      </w:r>
      <w:r w:rsidRPr="00B73FE5">
        <w:rPr>
          <w:sz w:val="20"/>
          <w:szCs w:val="20"/>
        </w:rPr>
        <w:t xml:space="preserve"> kuriérskou službou alebo poštou (ako doporučená zásielka</w:t>
      </w:r>
      <w:r>
        <w:rPr>
          <w:sz w:val="20"/>
          <w:szCs w:val="20"/>
        </w:rPr>
        <w:t>)</w:t>
      </w:r>
      <w:r w:rsidRPr="00B73FE5">
        <w:rPr>
          <w:sz w:val="20"/>
          <w:szCs w:val="20"/>
        </w:rPr>
        <w:t>;</w:t>
      </w:r>
    </w:p>
    <w:p w14:paraId="47838BD2" w14:textId="77777777" w:rsidR="00C14F55" w:rsidRPr="00B73FE5" w:rsidRDefault="00C14F55" w:rsidP="00C14F55">
      <w:pPr>
        <w:pStyle w:val="Normlny10"/>
        <w:spacing w:before="120" w:after="120"/>
        <w:ind w:left="2385" w:hanging="855"/>
        <w:jc w:val="both"/>
        <w:rPr>
          <w:sz w:val="20"/>
          <w:szCs w:val="20"/>
        </w:rPr>
      </w:pPr>
      <w:r w:rsidRPr="00B73FE5">
        <w:rPr>
          <w:b/>
          <w:sz w:val="20"/>
          <w:szCs w:val="20"/>
        </w:rPr>
        <w:lastRenderedPageBreak/>
        <w:t>12.2.2.2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1C97C4EB"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12.2.2.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77777777" w:rsidR="00A11EDB" w:rsidRPr="005E77A9" w:rsidRDefault="00A11EDB" w:rsidP="00A11EDB">
      <w:pPr>
        <w:spacing w:after="240" w:line="233" w:lineRule="auto"/>
        <w:ind w:left="1530" w:hanging="840"/>
        <w:jc w:val="both"/>
        <w:rPr>
          <w:sz w:val="20"/>
        </w:rPr>
      </w:pPr>
      <w:r w:rsidRPr="005E77A9">
        <w:rPr>
          <w:b/>
          <w:sz w:val="20"/>
        </w:rPr>
        <w:t>12.</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50A1A3C" w14:textId="1CA95599" w:rsidR="00EB2514" w:rsidRPr="00F93753" w:rsidRDefault="00A11EDB" w:rsidP="00EB2514">
      <w:pPr>
        <w:spacing w:line="233" w:lineRule="auto"/>
        <w:ind w:left="2127" w:hanging="1437"/>
        <w:jc w:val="both"/>
        <w:rPr>
          <w:sz w:val="20"/>
        </w:rPr>
      </w:pPr>
      <w:r w:rsidRPr="005E77A9">
        <w:rPr>
          <w:sz w:val="20"/>
        </w:rPr>
        <w:tab/>
      </w:r>
      <w:r w:rsidR="00EB2514" w:rsidRPr="00F93753">
        <w:rPr>
          <w:sz w:val="20"/>
        </w:rPr>
        <w:t>meno a priezvisko:</w:t>
      </w:r>
      <w:r w:rsidR="00EB2514" w:rsidRPr="00F93753">
        <w:rPr>
          <w:sz w:val="20"/>
        </w:rPr>
        <w:tab/>
      </w:r>
      <w:r w:rsidR="00F93753" w:rsidRPr="00F93753">
        <w:rPr>
          <w:sz w:val="20"/>
        </w:rPr>
        <w:t>Fedor Augustín</w:t>
      </w:r>
    </w:p>
    <w:p w14:paraId="7F9D5566" w14:textId="2CB07E58" w:rsidR="00EB2514" w:rsidRPr="00F93753" w:rsidRDefault="00EB2514" w:rsidP="00EB2514">
      <w:pPr>
        <w:shd w:val="clear" w:color="auto" w:fill="FFFFFF" w:themeFill="background1"/>
        <w:spacing w:before="120" w:line="233" w:lineRule="auto"/>
        <w:ind w:left="1531" w:hanging="839"/>
        <w:jc w:val="both"/>
        <w:rPr>
          <w:color w:val="auto"/>
          <w:sz w:val="20"/>
        </w:rPr>
      </w:pPr>
      <w:r w:rsidRPr="00F93753">
        <w:rPr>
          <w:sz w:val="20"/>
        </w:rPr>
        <w:tab/>
      </w:r>
      <w:r w:rsidRPr="00F93753">
        <w:rPr>
          <w:sz w:val="20"/>
        </w:rPr>
        <w:tab/>
        <w:t>e – mail:</w:t>
      </w:r>
      <w:r w:rsidRPr="00F93753">
        <w:rPr>
          <w:sz w:val="20"/>
        </w:rPr>
        <w:tab/>
      </w:r>
      <w:r w:rsidRPr="00F93753">
        <w:rPr>
          <w:sz w:val="20"/>
        </w:rPr>
        <w:tab/>
      </w:r>
      <w:r w:rsidR="00F93753" w:rsidRPr="00F93753">
        <w:rPr>
          <w:sz w:val="20"/>
        </w:rPr>
        <w:t>fedor</w:t>
      </w:r>
      <w:r w:rsidRPr="00F93753">
        <w:rPr>
          <w:rFonts w:eastAsia="Arial Unicode MS"/>
          <w:sz w:val="20"/>
        </w:rPr>
        <w:t>.</w:t>
      </w:r>
      <w:r w:rsidR="00F93753" w:rsidRPr="00F93753">
        <w:rPr>
          <w:rFonts w:eastAsia="Arial Unicode MS"/>
          <w:sz w:val="20"/>
        </w:rPr>
        <w:t>augustín</w:t>
      </w:r>
      <w:r w:rsidRPr="00F93753">
        <w:rPr>
          <w:rFonts w:eastAsia="Arial Unicode MS"/>
          <w:sz w:val="20"/>
        </w:rPr>
        <w:t>@vpas.sk</w:t>
      </w:r>
    </w:p>
    <w:p w14:paraId="51E21B0C" w14:textId="38762B04" w:rsidR="00EB2514" w:rsidRPr="005E77A9" w:rsidRDefault="00EB2514" w:rsidP="00EB2514">
      <w:pPr>
        <w:spacing w:before="120" w:after="240" w:line="233" w:lineRule="auto"/>
        <w:ind w:left="1531" w:hanging="839"/>
        <w:jc w:val="both"/>
        <w:rPr>
          <w:sz w:val="20"/>
        </w:rPr>
      </w:pPr>
      <w:r w:rsidRPr="00F93753">
        <w:rPr>
          <w:sz w:val="20"/>
        </w:rPr>
        <w:tab/>
      </w:r>
      <w:r w:rsidRPr="00F93753">
        <w:rPr>
          <w:sz w:val="20"/>
        </w:rPr>
        <w:tab/>
        <w:t>telefónne číslo:</w:t>
      </w:r>
      <w:r w:rsidRPr="00F93753">
        <w:rPr>
          <w:sz w:val="20"/>
        </w:rPr>
        <w:tab/>
      </w:r>
      <w:r w:rsidRPr="00F93753">
        <w:rPr>
          <w:sz w:val="20"/>
        </w:rPr>
        <w:tab/>
      </w:r>
      <w:r w:rsidRPr="00F93753">
        <w:rPr>
          <w:rFonts w:eastAsia="Arial Unicode MS"/>
          <w:sz w:val="20"/>
        </w:rPr>
        <w:t>+421 903 3</w:t>
      </w:r>
      <w:r w:rsidR="00F93753" w:rsidRPr="00F93753">
        <w:rPr>
          <w:rFonts w:eastAsia="Arial Unicode MS"/>
          <w:sz w:val="20"/>
        </w:rPr>
        <w:t>51</w:t>
      </w:r>
      <w:r w:rsidRPr="00F93753">
        <w:rPr>
          <w:rFonts w:eastAsia="Arial Unicode MS"/>
          <w:sz w:val="20"/>
        </w:rPr>
        <w:t> </w:t>
      </w:r>
      <w:r w:rsidR="00F93753" w:rsidRPr="00F93753">
        <w:rPr>
          <w:rFonts w:eastAsia="Arial Unicode MS"/>
          <w:sz w:val="20"/>
        </w:rPr>
        <w:t>626</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7777777" w:rsidR="00A11EDB" w:rsidRPr="005E77A9" w:rsidRDefault="00A11EDB" w:rsidP="00A11EDB">
      <w:pPr>
        <w:spacing w:line="233" w:lineRule="auto"/>
        <w:ind w:left="-30"/>
        <w:rPr>
          <w:b/>
          <w:sz w:val="20"/>
        </w:rPr>
      </w:pPr>
      <w:r w:rsidRPr="005E77A9">
        <w:rPr>
          <w:b/>
          <w:sz w:val="20"/>
        </w:rPr>
        <w:t>12.</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77777777" w:rsidR="00A11EDB" w:rsidRPr="005E77A9" w:rsidRDefault="00A11EDB" w:rsidP="00A11EDB">
      <w:pPr>
        <w:spacing w:line="233" w:lineRule="auto"/>
        <w:ind w:left="1530" w:hanging="840"/>
        <w:jc w:val="both"/>
        <w:rPr>
          <w:sz w:val="20"/>
        </w:rPr>
      </w:pPr>
      <w:r w:rsidRPr="005E77A9">
        <w:rPr>
          <w:b/>
          <w:sz w:val="20"/>
        </w:rPr>
        <w:t>12.</w:t>
      </w:r>
      <w:r>
        <w:rPr>
          <w:b/>
          <w:sz w:val="20"/>
        </w:rPr>
        <w:t>3</w:t>
      </w:r>
      <w:r w:rsidRPr="005E77A9">
        <w:rPr>
          <w:b/>
          <w:sz w:val="20"/>
        </w:rPr>
        <w:t>.1</w:t>
      </w:r>
      <w:r w:rsidRPr="005E77A9">
        <w:rPr>
          <w:sz w:val="20"/>
        </w:rPr>
        <w:tab/>
        <w:t>Táto Zmluva sa riadi právnymi predpismi Slovenskej republiky.</w:t>
      </w:r>
    </w:p>
    <w:p w14:paraId="4CC1500F"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77777777" w:rsidR="00A11EDB" w:rsidRPr="005E77A9" w:rsidRDefault="00A11EDB" w:rsidP="00A11EDB">
      <w:pPr>
        <w:spacing w:line="233" w:lineRule="auto"/>
        <w:ind w:left="-30"/>
        <w:rPr>
          <w:b/>
          <w:sz w:val="20"/>
        </w:rPr>
      </w:pPr>
      <w:r w:rsidRPr="005E77A9">
        <w:rPr>
          <w:b/>
          <w:sz w:val="20"/>
        </w:rPr>
        <w:t>12.</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77777777" w:rsidR="00A11EDB" w:rsidRPr="005E77A9" w:rsidRDefault="00A11EDB" w:rsidP="00A11EDB">
      <w:pPr>
        <w:spacing w:line="233" w:lineRule="auto"/>
        <w:ind w:left="1530" w:hanging="840"/>
        <w:jc w:val="both"/>
        <w:rPr>
          <w:sz w:val="20"/>
        </w:rPr>
      </w:pPr>
      <w:r w:rsidRPr="005E77A9">
        <w:rPr>
          <w:b/>
          <w:sz w:val="20"/>
        </w:rPr>
        <w:t>12.</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4</w:t>
      </w:r>
      <w:r w:rsidRPr="005E77A9">
        <w:rPr>
          <w:b/>
          <w:sz w:val="20"/>
        </w:rPr>
        <w:t>.2</w:t>
      </w:r>
      <w:r w:rsidRPr="005E77A9">
        <w:rPr>
          <w:sz w:val="20"/>
        </w:rPr>
        <w:tab/>
        <w:t xml:space="preserve">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w:t>
      </w:r>
      <w:r w:rsidRPr="005E77A9">
        <w:rPr>
          <w:sz w:val="20"/>
        </w:rPr>
        <w:lastRenderedPageBreak/>
        <w:t>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7777777" w:rsidR="00A11EDB" w:rsidRPr="005E77A9" w:rsidRDefault="00A11EDB" w:rsidP="00A11EDB">
      <w:pPr>
        <w:spacing w:line="233" w:lineRule="auto"/>
        <w:rPr>
          <w:b/>
          <w:sz w:val="20"/>
        </w:rPr>
      </w:pPr>
      <w:r w:rsidRPr="005E77A9">
        <w:rPr>
          <w:b/>
          <w:sz w:val="20"/>
        </w:rPr>
        <w:t>12.</w:t>
      </w:r>
      <w:r>
        <w:rPr>
          <w:b/>
          <w:sz w:val="20"/>
        </w:rPr>
        <w:t>5</w:t>
      </w:r>
      <w:r w:rsidRPr="005E77A9">
        <w:rPr>
          <w:sz w:val="20"/>
        </w:rPr>
        <w:tab/>
      </w:r>
      <w:r w:rsidRPr="005E77A9">
        <w:rPr>
          <w:b/>
          <w:sz w:val="20"/>
        </w:rPr>
        <w:t>Účinnosť:</w:t>
      </w:r>
    </w:p>
    <w:p w14:paraId="7BE6FEE4" w14:textId="155A1B82" w:rsidR="00A11EDB" w:rsidRPr="005E77A9" w:rsidRDefault="00C16000" w:rsidP="00F93753">
      <w:pPr>
        <w:spacing w:line="233" w:lineRule="auto"/>
        <w:ind w:left="1560" w:hanging="90"/>
        <w:jc w:val="both"/>
        <w:rPr>
          <w:b/>
          <w:bCs/>
          <w:sz w:val="20"/>
        </w:rPr>
      </w:pPr>
      <w:r>
        <w:rPr>
          <w:b/>
          <w:bCs/>
          <w:sz w:val="20"/>
          <w:highlight w:val="yellow"/>
        </w:rPr>
        <w:t xml:space="preserve"> </w:t>
      </w:r>
    </w:p>
    <w:p w14:paraId="67CD5FF2" w14:textId="77777777" w:rsidR="00A11EDB" w:rsidRPr="005E77A9" w:rsidRDefault="00A11EDB" w:rsidP="00A11EDB">
      <w:pPr>
        <w:spacing w:line="233" w:lineRule="auto"/>
        <w:ind w:left="1530" w:hanging="840"/>
        <w:jc w:val="both"/>
        <w:rPr>
          <w:sz w:val="20"/>
        </w:rPr>
      </w:pPr>
      <w:r w:rsidRPr="005E77A9">
        <w:rPr>
          <w:b/>
          <w:sz w:val="20"/>
        </w:rPr>
        <w:t>12.</w:t>
      </w:r>
      <w:r>
        <w:rPr>
          <w:b/>
          <w:sz w:val="20"/>
        </w:rPr>
        <w:t>5</w:t>
      </w:r>
      <w:r w:rsidRPr="005E77A9">
        <w:rPr>
          <w:b/>
          <w:sz w:val="20"/>
        </w:rPr>
        <w:t>.1</w:t>
      </w:r>
      <w:r w:rsidRPr="005E77A9">
        <w:rPr>
          <w:b/>
          <w:sz w:val="20"/>
        </w:rPr>
        <w:tab/>
      </w:r>
      <w:r w:rsidRPr="00F93753">
        <w:rPr>
          <w:sz w:val="20"/>
        </w:rPr>
        <w:t xml:space="preserve">Táto Zmluva nadobúda platnosť dňom jej podpísania zástupcami oboch Zmluvných strán. </w:t>
      </w:r>
      <w:r w:rsidRPr="00F93753">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4CE6AF24" w14:textId="77777777" w:rsidR="00A11EDB" w:rsidRPr="005E77A9" w:rsidRDefault="00A11EDB" w:rsidP="00A11EDB">
      <w:pPr>
        <w:spacing w:line="233" w:lineRule="auto"/>
        <w:ind w:left="1530" w:hanging="840"/>
        <w:jc w:val="both"/>
        <w:rPr>
          <w:sz w:val="20"/>
        </w:rPr>
      </w:pPr>
    </w:p>
    <w:p w14:paraId="48D9C4F4" w14:textId="77777777" w:rsidR="00A11EDB" w:rsidRPr="005E77A9" w:rsidRDefault="00A11EDB" w:rsidP="00AF17A1">
      <w:pPr>
        <w:pStyle w:val="Odsekzoznamu"/>
        <w:numPr>
          <w:ilvl w:val="1"/>
          <w:numId w:val="18"/>
        </w:numPr>
        <w:spacing w:line="233" w:lineRule="auto"/>
        <w:ind w:hanging="608"/>
        <w:rPr>
          <w:b/>
          <w:sz w:val="20"/>
        </w:rPr>
      </w:pPr>
      <w:r w:rsidRPr="005E77A9">
        <w:rPr>
          <w:b/>
          <w:sz w:val="20"/>
        </w:rPr>
        <w:t>Jazyk a vyhotovenia:</w:t>
      </w:r>
    </w:p>
    <w:p w14:paraId="6565AC6A" w14:textId="77777777" w:rsidR="00A11EDB" w:rsidRPr="005E77A9" w:rsidRDefault="00A11EDB" w:rsidP="00A11EDB">
      <w:pPr>
        <w:spacing w:line="233" w:lineRule="auto"/>
        <w:jc w:val="both"/>
        <w:rPr>
          <w:b/>
          <w:sz w:val="20"/>
        </w:rPr>
      </w:pPr>
    </w:p>
    <w:p w14:paraId="08944E4E" w14:textId="77777777" w:rsidR="00A11EDB" w:rsidRPr="005E77A9" w:rsidRDefault="00A11EDB" w:rsidP="00A11EDB">
      <w:pPr>
        <w:pStyle w:val="Odsekzoznamu"/>
        <w:numPr>
          <w:ilvl w:val="2"/>
          <w:numId w:val="18"/>
        </w:numPr>
        <w:spacing w:line="233" w:lineRule="auto"/>
        <w:ind w:left="1418"/>
        <w:jc w:val="both"/>
        <w:rPr>
          <w:sz w:val="20"/>
        </w:rPr>
      </w:pPr>
      <w:r w:rsidRPr="005E77A9">
        <w:rPr>
          <w:sz w:val="20"/>
        </w:rPr>
        <w:t>Táto Zmluva vrátane všetkých jej príloh, je vyhotovená v slovenskom jazyku.</w:t>
      </w:r>
    </w:p>
    <w:p w14:paraId="3C8CBA1D" w14:textId="77777777" w:rsidR="00A11EDB" w:rsidRPr="005E77A9" w:rsidRDefault="00A11EDB" w:rsidP="00A11EDB">
      <w:pPr>
        <w:pStyle w:val="Odsekzoznamu"/>
        <w:spacing w:line="233" w:lineRule="auto"/>
        <w:ind w:left="1418"/>
        <w:jc w:val="both"/>
        <w:rPr>
          <w:sz w:val="20"/>
        </w:rPr>
      </w:pPr>
    </w:p>
    <w:p w14:paraId="30CAA8C0" w14:textId="0BE408BA" w:rsidR="00A11EDB" w:rsidRPr="005E77A9" w:rsidRDefault="00A11EDB" w:rsidP="00A11EDB">
      <w:pPr>
        <w:spacing w:line="240" w:lineRule="auto"/>
        <w:ind w:left="1418" w:hanging="726"/>
        <w:jc w:val="both"/>
        <w:rPr>
          <w:sz w:val="20"/>
        </w:rPr>
      </w:pPr>
      <w:r w:rsidRPr="005E77A9">
        <w:rPr>
          <w:b/>
          <w:bCs/>
          <w:sz w:val="20"/>
        </w:rPr>
        <w:t>12.</w:t>
      </w:r>
      <w:r>
        <w:rPr>
          <w:b/>
          <w:bCs/>
          <w:sz w:val="20"/>
        </w:rPr>
        <w:t>6</w:t>
      </w:r>
      <w:r w:rsidRPr="005E77A9">
        <w:rPr>
          <w:b/>
          <w:bCs/>
          <w:sz w:val="20"/>
        </w:rPr>
        <w:t>.2</w:t>
      </w:r>
      <w:r w:rsidRPr="005E77A9">
        <w:rPr>
          <w:b/>
          <w:bCs/>
          <w:sz w:val="20"/>
        </w:rPr>
        <w:tab/>
      </w:r>
      <w:r w:rsidRPr="005E77A9">
        <w:rPr>
          <w:sz w:val="20"/>
        </w:rPr>
        <w:t>Táto Zmluva je vyhotovená v</w:t>
      </w:r>
      <w:r w:rsidR="00A63D1D">
        <w:rPr>
          <w:sz w:val="20"/>
        </w:rPr>
        <w:t> štyroch (4)</w:t>
      </w:r>
      <w:r w:rsidR="00C566CB" w:rsidRPr="005E77A9">
        <w:rPr>
          <w:sz w:val="20"/>
        </w:rPr>
        <w:t xml:space="preserve"> </w:t>
      </w:r>
      <w:r w:rsidRPr="005E77A9">
        <w:rPr>
          <w:sz w:val="20"/>
        </w:rPr>
        <w:t xml:space="preserve">identických vyhotoveniach, z ktorých každá </w:t>
      </w:r>
      <w:r w:rsidRPr="005E77A9">
        <w:rPr>
          <w:sz w:val="20"/>
        </w:rPr>
        <w:br/>
        <w:t>zo Zmluvných strán obdrží po jej podpise po dve (2) vyhotovenia</w:t>
      </w:r>
      <w:r w:rsidR="00A63D1D">
        <w:rPr>
          <w:sz w:val="20"/>
        </w:rPr>
        <w:t>.</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2F8AD145" w14:textId="5C1F0093" w:rsidR="00B212BC" w:rsidRPr="005E77A9" w:rsidRDefault="00B212BC"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 Grafické znázornenie </w:t>
      </w:r>
      <w:r w:rsidR="00163918" w:rsidRPr="005E77A9">
        <w:rPr>
          <w:rFonts w:ascii="Arial" w:hAnsi="Arial" w:cs="Arial"/>
          <w:color w:val="000000"/>
          <w:sz w:val="20"/>
          <w:szCs w:val="20"/>
        </w:rPr>
        <w:t>Predmetu nájmu</w:t>
      </w:r>
      <w:r w:rsidRPr="005E77A9">
        <w:rPr>
          <w:rFonts w:ascii="Arial" w:hAnsi="Arial" w:cs="Arial"/>
          <w:color w:val="000000"/>
          <w:sz w:val="20"/>
          <w:szCs w:val="20"/>
        </w:rPr>
        <w:t xml:space="preserve"> </w:t>
      </w:r>
    </w:p>
    <w:p w14:paraId="0B245E09" w14:textId="3B887404"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2</w:t>
      </w:r>
      <w:r w:rsidRPr="005E77A9">
        <w:rPr>
          <w:rFonts w:ascii="Arial" w:hAnsi="Arial" w:cs="Arial"/>
          <w:sz w:val="20"/>
          <w:szCs w:val="20"/>
        </w:rPr>
        <w:t xml:space="preserve"> - Informatívny výpis z listu vlastníctva</w:t>
      </w:r>
    </w:p>
    <w:p w14:paraId="0D382689" w14:textId="737E04D1"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3</w:t>
      </w:r>
      <w:r w:rsidR="00B212BC" w:rsidRPr="005E77A9">
        <w:rPr>
          <w:rFonts w:ascii="Arial" w:hAnsi="Arial" w:cs="Arial"/>
          <w:sz w:val="20"/>
          <w:szCs w:val="20"/>
        </w:rPr>
        <w:t xml:space="preserve"> </w:t>
      </w:r>
      <w:r w:rsidRPr="005E77A9">
        <w:rPr>
          <w:rFonts w:ascii="Arial" w:hAnsi="Arial" w:cs="Arial"/>
          <w:sz w:val="20"/>
          <w:szCs w:val="20"/>
        </w:rPr>
        <w:t>- Informácia o spracúvaní osobných údajov</w:t>
      </w:r>
    </w:p>
    <w:p w14:paraId="111EDB0D" w14:textId="30CF8BB7" w:rsidR="00584DC3" w:rsidRPr="005E77A9" w:rsidRDefault="00584DC3" w:rsidP="003C6F52">
      <w:pPr>
        <w:spacing w:line="240" w:lineRule="auto"/>
        <w:rPr>
          <w:sz w:val="20"/>
        </w:rPr>
      </w:pP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77777777" w:rsidR="00310AEB" w:rsidRPr="005E77A9" w:rsidRDefault="00310AEB" w:rsidP="00BA5D5F">
            <w:pPr>
              <w:pStyle w:val="Normlny10"/>
              <w:ind w:left="100"/>
              <w:jc w:val="both"/>
              <w:rPr>
                <w:sz w:val="20"/>
                <w:szCs w:val="20"/>
              </w:rPr>
            </w:pPr>
            <w:r w:rsidRPr="005E77A9">
              <w:rPr>
                <w:sz w:val="20"/>
                <w:szCs w:val="20"/>
              </w:rPr>
              <w:t>...........................................................................</w:t>
            </w:r>
            <w:hyperlink r:id="rId8"/>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6C1FA5B" w:rsidR="008F612E" w:rsidRPr="008F612E" w:rsidRDefault="00907A88" w:rsidP="00BA5D5F">
            <w:pPr>
              <w:pStyle w:val="Normlny10"/>
              <w:ind w:left="100"/>
              <w:jc w:val="both"/>
              <w:rPr>
                <w:b/>
                <w:bCs/>
                <w:sz w:val="20"/>
                <w:szCs w:val="20"/>
              </w:rPr>
            </w:pPr>
            <w:r>
              <w:rPr>
                <w:b/>
                <w:bCs/>
                <w:sz w:val="20"/>
              </w:rPr>
              <w:t>Mgr. Roman Kiss</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16A1" w14:textId="77777777" w:rsidR="00FD702A" w:rsidRDefault="00FD702A">
      <w:pPr>
        <w:spacing w:line="240" w:lineRule="auto"/>
      </w:pPr>
      <w:r>
        <w:separator/>
      </w:r>
    </w:p>
  </w:endnote>
  <w:endnote w:type="continuationSeparator" w:id="0">
    <w:p w14:paraId="5665A483" w14:textId="77777777" w:rsidR="00FD702A" w:rsidRDefault="00FD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Roman">
    <w:altName w:val="Calibri"/>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34BB4E89" w:rsidR="000A4AA9" w:rsidRPr="00EC1279" w:rsidRDefault="000A4AA9" w:rsidP="00EC1279">
            <w:pPr>
              <w:pStyle w:val="Pta"/>
              <w:rPr>
                <w:sz w:val="16"/>
                <w:szCs w:val="16"/>
              </w:rPr>
            </w:pPr>
            <w:r w:rsidRPr="00EC1279">
              <w:rPr>
                <w:sz w:val="16"/>
                <w:szCs w:val="16"/>
              </w:rPr>
              <w:t>Nájomná zmluva č</w:t>
            </w:r>
            <w:r w:rsidRPr="00C2487C">
              <w:rPr>
                <w:sz w:val="16"/>
                <w:szCs w:val="16"/>
              </w:rPr>
              <w:t xml:space="preserve">. </w:t>
            </w:r>
            <w:r w:rsidR="001D0EE3">
              <w:rPr>
                <w:rFonts w:ascii="Avenir Roman" w:eastAsia="Arial Unicode MS" w:hAnsi="Avenir Roman" w:cs="Arial Unicode MS"/>
                <w:highlight w:val="yellow"/>
              </w:rPr>
              <w:t>[•]</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A854" w14:textId="77777777" w:rsidR="00FD702A" w:rsidRDefault="00FD702A">
      <w:pPr>
        <w:spacing w:line="240" w:lineRule="auto"/>
      </w:pPr>
      <w:r>
        <w:separator/>
      </w:r>
    </w:p>
  </w:footnote>
  <w:footnote w:type="continuationSeparator" w:id="0">
    <w:p w14:paraId="0FC5EFA7" w14:textId="77777777" w:rsidR="00FD702A" w:rsidRDefault="00FD70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abstractNumId w:val="10"/>
  </w:num>
  <w:num w:numId="2">
    <w:abstractNumId w:val="11"/>
  </w:num>
  <w:num w:numId="3">
    <w:abstractNumId w:val="5"/>
  </w:num>
  <w:num w:numId="4">
    <w:abstractNumId w:val="13"/>
  </w:num>
  <w:num w:numId="5">
    <w:abstractNumId w:val="8"/>
  </w:num>
  <w:num w:numId="6">
    <w:abstractNumId w:val="3"/>
  </w:num>
  <w:num w:numId="7">
    <w:abstractNumId w:val="7"/>
  </w:num>
  <w:num w:numId="8">
    <w:abstractNumId w:val="15"/>
  </w:num>
  <w:num w:numId="9">
    <w:abstractNumId w:val="16"/>
  </w:num>
  <w:num w:numId="10">
    <w:abstractNumId w:val="17"/>
  </w:num>
  <w:num w:numId="11">
    <w:abstractNumId w:val="1"/>
  </w:num>
  <w:num w:numId="12">
    <w:abstractNumId w:val="0"/>
  </w:num>
  <w:num w:numId="13">
    <w:abstractNumId w:val="12"/>
  </w:num>
  <w:num w:numId="14">
    <w:abstractNumId w:val="2"/>
  </w:num>
  <w:num w:numId="15">
    <w:abstractNumId w:val="14"/>
  </w:num>
  <w:num w:numId="16">
    <w:abstractNumId w:val="6"/>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22A9F"/>
    <w:rsid w:val="00023B9D"/>
    <w:rsid w:val="00023CF1"/>
    <w:rsid w:val="000240D6"/>
    <w:rsid w:val="000322B3"/>
    <w:rsid w:val="00033DA3"/>
    <w:rsid w:val="00035EED"/>
    <w:rsid w:val="00036DA2"/>
    <w:rsid w:val="000371DF"/>
    <w:rsid w:val="00037B3D"/>
    <w:rsid w:val="0004074F"/>
    <w:rsid w:val="00044581"/>
    <w:rsid w:val="00044EE8"/>
    <w:rsid w:val="000505A4"/>
    <w:rsid w:val="00050B1C"/>
    <w:rsid w:val="000530B7"/>
    <w:rsid w:val="00053B55"/>
    <w:rsid w:val="00054C65"/>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7224A"/>
    <w:rsid w:val="00273851"/>
    <w:rsid w:val="00277B79"/>
    <w:rsid w:val="002838ED"/>
    <w:rsid w:val="00285684"/>
    <w:rsid w:val="00285CF7"/>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4D12"/>
    <w:rsid w:val="004B59B0"/>
    <w:rsid w:val="004B6EB3"/>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B4A"/>
    <w:rsid w:val="005E3122"/>
    <w:rsid w:val="005E77A9"/>
    <w:rsid w:val="005E7F57"/>
    <w:rsid w:val="005F1517"/>
    <w:rsid w:val="005F5FD2"/>
    <w:rsid w:val="006017EB"/>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83E53"/>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6DAD"/>
    <w:rsid w:val="009D0FC4"/>
    <w:rsid w:val="009D3351"/>
    <w:rsid w:val="009D3685"/>
    <w:rsid w:val="009D59C1"/>
    <w:rsid w:val="009D67B8"/>
    <w:rsid w:val="009E0FCD"/>
    <w:rsid w:val="009E3CA0"/>
    <w:rsid w:val="009E74A8"/>
    <w:rsid w:val="009F035B"/>
    <w:rsid w:val="009F4F39"/>
    <w:rsid w:val="009F52F4"/>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63D1D"/>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F092A"/>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7B1D"/>
    <w:rsid w:val="00EF3A7E"/>
    <w:rsid w:val="00EF66BA"/>
    <w:rsid w:val="00EF79B7"/>
    <w:rsid w:val="00F0062C"/>
    <w:rsid w:val="00F01F27"/>
    <w:rsid w:val="00F05848"/>
    <w:rsid w:val="00F0750C"/>
    <w:rsid w:val="00F12F6A"/>
    <w:rsid w:val="00F14115"/>
    <w:rsid w:val="00F142C8"/>
    <w:rsid w:val="00F16DDF"/>
    <w:rsid w:val="00F25143"/>
    <w:rsid w:val="00F309D3"/>
    <w:rsid w:val="00F30CFE"/>
    <w:rsid w:val="00F30F76"/>
    <w:rsid w:val="00F3103F"/>
    <w:rsid w:val="00F322C4"/>
    <w:rsid w:val="00F35B68"/>
    <w:rsid w:val="00F36A6D"/>
    <w:rsid w:val="00F3751B"/>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5185"/>
    <w:rsid w:val="00F86A4D"/>
    <w:rsid w:val="00F932B4"/>
    <w:rsid w:val="00F93753"/>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D702A"/>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5232</Words>
  <Characters>29826</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2022-02-10T17:57:00Z</dcterms:created>
  <dcterms:modified xsi:type="dcterms:W3CDTF">2022-02-10T17:57:00Z</dcterms:modified>
  <cp:contentStatus/>
</cp:coreProperties>
</file>