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E1" w:rsidRDefault="00A962E1" w:rsidP="00A962E1">
      <w:pPr>
        <w:keepNext/>
        <w:jc w:val="both"/>
        <w:rPr>
          <w:rFonts w:asciiTheme="minorHAnsi" w:hAnsiTheme="minorHAnsi"/>
          <w:b/>
          <w:i/>
        </w:rPr>
      </w:pPr>
      <w:r w:rsidRPr="00AD0250">
        <w:rPr>
          <w:rFonts w:asciiTheme="minorHAnsi" w:hAnsiTheme="minorHAnsi"/>
          <w:b/>
          <w:i/>
        </w:rPr>
        <w:t>Minimálna technická špecifikácia:</w:t>
      </w:r>
      <w:r>
        <w:rPr>
          <w:rFonts w:asciiTheme="minorHAnsi" w:hAnsiTheme="minorHAnsi"/>
          <w:b/>
          <w:i/>
        </w:rPr>
        <w:t xml:space="preserve"> </w:t>
      </w:r>
    </w:p>
    <w:p w:rsidR="00A962E1" w:rsidRDefault="00A962E1" w:rsidP="00A962E1">
      <w:pPr>
        <w:keepNext/>
        <w:jc w:val="both"/>
        <w:rPr>
          <w:rFonts w:asciiTheme="minorHAnsi" w:hAnsiTheme="minorHAnsi"/>
          <w:b/>
          <w:i/>
        </w:rPr>
      </w:pPr>
      <w:r w:rsidRPr="0066197B">
        <w:rPr>
          <w:rFonts w:asciiTheme="minorHAnsi" w:hAnsiTheme="minorHAnsi"/>
          <w:b/>
          <w:i/>
        </w:rPr>
        <w:t xml:space="preserve">Monitor vitálnych funkcií </w:t>
      </w:r>
      <w:r>
        <w:rPr>
          <w:rFonts w:asciiTheme="minorHAnsi" w:hAnsiTheme="minorHAnsi"/>
          <w:b/>
          <w:i/>
        </w:rPr>
        <w:t>kategórie</w:t>
      </w:r>
      <w:r w:rsidRPr="0066197B">
        <w:rPr>
          <w:rFonts w:asciiTheme="minorHAnsi" w:hAnsiTheme="minorHAnsi"/>
          <w:b/>
          <w:i/>
        </w:rPr>
        <w:t xml:space="preserve"> B</w:t>
      </w:r>
      <w:r>
        <w:rPr>
          <w:rFonts w:asciiTheme="minorHAnsi" w:hAnsiTheme="minorHAnsi"/>
          <w:b/>
          <w:i/>
        </w:rPr>
        <w:t xml:space="preserve"> kompatibilný s</w:t>
      </w:r>
      <w:r w:rsidR="000A00CB">
        <w:rPr>
          <w:rFonts w:asciiTheme="minorHAnsi" w:hAnsiTheme="minorHAnsi"/>
          <w:b/>
          <w:i/>
        </w:rPr>
        <w:t> centrálou výrobcu GE Healthcare</w:t>
      </w:r>
    </w:p>
    <w:p w:rsidR="00A962E1" w:rsidRDefault="00A962E1"/>
    <w:tbl>
      <w:tblPr>
        <w:tblW w:w="53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8"/>
        <w:gridCol w:w="1512"/>
        <w:gridCol w:w="2116"/>
        <w:gridCol w:w="2192"/>
      </w:tblGrid>
      <w:tr w:rsidR="00A962E1" w:rsidRPr="00EB410D" w:rsidTr="00172640">
        <w:trPr>
          <w:cantSplit/>
        </w:trPr>
        <w:tc>
          <w:tcPr>
            <w:tcW w:w="3888" w:type="pct"/>
            <w:gridSpan w:val="3"/>
            <w:vAlign w:val="center"/>
          </w:tcPr>
          <w:p w:rsidR="00A962E1" w:rsidRPr="00EB410D" w:rsidRDefault="00A962E1" w:rsidP="00172640">
            <w:pPr>
              <w:jc w:val="center"/>
              <w:rPr>
                <w:b/>
                <w:noProof/>
              </w:rPr>
            </w:pPr>
            <w:r w:rsidRPr="00EB410D">
              <w:rPr>
                <w:b/>
                <w:noProof/>
              </w:rPr>
              <w:t>Požadovaný technicko-medicínsky parameter / opis / požadovaná hodnota</w:t>
            </w:r>
          </w:p>
        </w:tc>
        <w:tc>
          <w:tcPr>
            <w:tcW w:w="1112" w:type="pct"/>
          </w:tcPr>
          <w:p w:rsidR="00A962E1" w:rsidRDefault="00A962E1" w:rsidP="00172640">
            <w:pPr>
              <w:jc w:val="center"/>
              <w:rPr>
                <w:b/>
              </w:rPr>
            </w:pPr>
            <w:r>
              <w:rPr>
                <w:b/>
              </w:rPr>
              <w:t>Vlastný návrh na plnenie predmetu zákazky</w:t>
            </w: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1"/>
                <w:numId w:val="1"/>
              </w:numPr>
              <w:ind w:left="426"/>
              <w:contextualSpacing/>
              <w:jc w:val="both"/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  <w:t>Monitor a zobrazovanie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112" w:type="pct"/>
          </w:tcPr>
          <w:p w:rsidR="00A962E1" w:rsidRPr="00EB410D" w:rsidRDefault="00A962E1" w:rsidP="00172640">
            <w:pPr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Veľkosť uhlopriečky monitora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"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7D6314">
              <w:rPr>
                <w:bCs/>
                <w:spacing w:val="-8"/>
                <w:kern w:val="36"/>
                <w:bdr w:val="none" w:sz="0" w:space="0" w:color="auto" w:frame="1"/>
              </w:rPr>
              <w:t>min 12 palcov; max 16 palcov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>
              <w:rPr>
                <w:bCs/>
                <w:spacing w:val="-8"/>
                <w:kern w:val="36"/>
                <w:bdr w:val="none" w:sz="0" w:space="0" w:color="auto" w:frame="1"/>
              </w:rPr>
              <w:t>Dotykový displej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</w:t>
            </w:r>
          </w:p>
        </w:tc>
        <w:tc>
          <w:tcPr>
            <w:tcW w:w="1073" w:type="pct"/>
          </w:tcPr>
          <w:p w:rsidR="00A962E1" w:rsidRPr="007D6314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>
              <w:rPr>
                <w:bCs/>
                <w:spacing w:val="-8"/>
                <w:kern w:val="36"/>
                <w:bdr w:val="none" w:sz="0" w:space="0" w:color="auto" w:frame="1"/>
              </w:rPr>
              <w:t>áno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Rozlíšenie displeja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proofErr w:type="spellStart"/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px</w:t>
            </w:r>
            <w:proofErr w:type="spellEnd"/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min 800x</w:t>
            </w:r>
            <w:r>
              <w:rPr>
                <w:bCs/>
                <w:spacing w:val="-8"/>
                <w:kern w:val="36"/>
                <w:bdr w:val="none" w:sz="0" w:space="0" w:color="auto" w:frame="1"/>
              </w:rPr>
              <w:t>60</w:t>
            </w: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0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Ovládanie v slovenskom jazyku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proofErr w:type="spellStart"/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svk</w:t>
            </w:r>
            <w:proofErr w:type="spellEnd"/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/</w:t>
            </w:r>
            <w:proofErr w:type="spellStart"/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čzk</w:t>
            </w:r>
            <w:proofErr w:type="spellEnd"/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1E7711">
              <w:rPr>
                <w:bCs/>
                <w:spacing w:val="-8"/>
                <w:kern w:val="36"/>
                <w:bdr w:val="none" w:sz="0" w:space="0" w:color="auto" w:frame="1"/>
              </w:rPr>
              <w:t>Možnosť pripojenia sekundárneho displeja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Súčasné zobrazenie kriviek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počet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 xml:space="preserve">min </w:t>
            </w:r>
            <w:r>
              <w:rPr>
                <w:bCs/>
                <w:spacing w:val="-8"/>
                <w:kern w:val="36"/>
                <w:bdr w:val="none" w:sz="0" w:space="0" w:color="auto" w:frame="1"/>
              </w:rPr>
              <w:t>6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Prezeranie histórie/ pamäti prístroja (grafické aj numerické trendy všetkých parametrov)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počet hodín / meraní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min 48 hod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Možnosť tichého a tmavého režimu (</w:t>
            </w:r>
            <w:proofErr w:type="spellStart"/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stand-by</w:t>
            </w:r>
            <w:proofErr w:type="spellEnd"/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)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Voľba rýchleho prístupu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počet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min 2 funkcie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1"/>
                <w:numId w:val="1"/>
              </w:numPr>
              <w:ind w:left="567" w:hanging="573"/>
              <w:contextualSpacing/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  <w:t>Technické parametre prístroja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112" w:type="pct"/>
          </w:tcPr>
          <w:p w:rsidR="00A962E1" w:rsidRPr="00EB410D" w:rsidRDefault="00A962E1" w:rsidP="00172640">
            <w:pPr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Výdrž batérie bez napojenia na elektrickú sieť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hod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 xml:space="preserve">min </w:t>
            </w:r>
            <w:r>
              <w:rPr>
                <w:bCs/>
                <w:spacing w:val="-8"/>
                <w:kern w:val="36"/>
                <w:bdr w:val="none" w:sz="0" w:space="0" w:color="auto" w:frame="1"/>
              </w:rPr>
              <w:t>1,5</w:t>
            </w: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 xml:space="preserve"> hod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Čas nabíjania akumulátora na 100% batérie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hod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do 7 hod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Možnosť uchytenia prístroja na stenu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Prenosný prístroj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proofErr w:type="spellStart"/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Ethernetový</w:t>
            </w:r>
            <w:proofErr w:type="spellEnd"/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 xml:space="preserve"> konektor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1"/>
                <w:numId w:val="1"/>
              </w:numPr>
              <w:ind w:left="567" w:hanging="573"/>
              <w:contextualSpacing/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  <w:t>Meranie</w:t>
            </w:r>
            <w:r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  <w:t xml:space="preserve"> </w:t>
            </w:r>
            <w:r w:rsidRPr="00EB410D"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  <w:t>frekvencie dýchania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112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Rozsah merania respirácie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dychov / min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>
              <w:rPr>
                <w:bCs/>
                <w:spacing w:val="-8"/>
                <w:kern w:val="36"/>
                <w:bdr w:val="none" w:sz="0" w:space="0" w:color="auto" w:frame="1"/>
              </w:rPr>
              <w:t>min v rozsahu 10</w:t>
            </w: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-120 (dospelý pacient)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keepNext/>
              <w:numPr>
                <w:ilvl w:val="1"/>
                <w:numId w:val="1"/>
              </w:numPr>
              <w:ind w:left="567" w:hanging="573"/>
              <w:contextualSpacing/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  <w:t>Meranie teploty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112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Rozsah monitorovania teploty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min / max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>
              <w:rPr>
                <w:bCs/>
                <w:spacing w:val="-8"/>
                <w:kern w:val="36"/>
                <w:bdr w:val="none" w:sz="0" w:space="0" w:color="auto" w:frame="1"/>
              </w:rPr>
              <w:t>min v rozsahu 25</w:t>
            </w: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-40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Meraných teplôt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počet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 xml:space="preserve">min </w:t>
            </w:r>
            <w:r>
              <w:rPr>
                <w:bCs/>
                <w:spacing w:val="-8"/>
                <w:kern w:val="36"/>
                <w:bdr w:val="none" w:sz="0" w:space="0" w:color="auto" w:frame="1"/>
              </w:rPr>
              <w:t>2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Presnosť merania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Δ °C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 xml:space="preserve">min v rozsahu +/- </w:t>
            </w:r>
            <w:r>
              <w:rPr>
                <w:bCs/>
                <w:spacing w:val="-8"/>
                <w:kern w:val="36"/>
                <w:bdr w:val="none" w:sz="0" w:space="0" w:color="auto" w:frame="1"/>
              </w:rPr>
              <w:t>0,2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keepNext/>
              <w:numPr>
                <w:ilvl w:val="1"/>
                <w:numId w:val="1"/>
              </w:numPr>
              <w:ind w:left="567" w:hanging="573"/>
              <w:contextualSpacing/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  <w:t>Systém EKG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112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Káble + zvody pre EKG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počet / počet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 xml:space="preserve">min 3 </w:t>
            </w:r>
            <w:r>
              <w:rPr>
                <w:bCs/>
                <w:spacing w:val="-8"/>
                <w:kern w:val="36"/>
                <w:bdr w:val="none" w:sz="0" w:space="0" w:color="auto" w:frame="1"/>
              </w:rPr>
              <w:t xml:space="preserve">a 5 </w:t>
            </w: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zvodový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Zobrazenie EKG krivky s možnosťou výberu zvodov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 (akých, počet)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3/</w:t>
            </w:r>
            <w:r>
              <w:rPr>
                <w:bCs/>
                <w:spacing w:val="-8"/>
                <w:kern w:val="36"/>
                <w:bdr w:val="none" w:sz="0" w:space="0" w:color="auto" w:frame="1"/>
              </w:rPr>
              <w:t>5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 xml:space="preserve">Rozsah ST segmentu 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+mm / -mm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min +/-2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Analýza ST segmentu samostatne pre všetky zvody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keepNext/>
              <w:numPr>
                <w:ilvl w:val="1"/>
                <w:numId w:val="1"/>
              </w:numPr>
              <w:ind w:left="567" w:hanging="573"/>
              <w:contextualSpacing/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  <w:t>Meranie pulzu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112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Rozsah monitorovania pulzu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počet / min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min v rozsahu 30-250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Presnosť merania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Δ počet / min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max 2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1"/>
                <w:numId w:val="1"/>
              </w:numPr>
              <w:ind w:left="567" w:hanging="573"/>
              <w:contextualSpacing/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  <w:lastRenderedPageBreak/>
              <w:t>Meranie SPO2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112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Režim merania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automatický / manuálny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automatický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66197B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66197B">
              <w:rPr>
                <w:bCs/>
                <w:spacing w:val="-8"/>
                <w:kern w:val="36"/>
                <w:bdr w:val="none" w:sz="0" w:space="0" w:color="auto" w:frame="1"/>
              </w:rPr>
              <w:t>Rozsah monitorovania SpO2</w:t>
            </w:r>
          </w:p>
        </w:tc>
        <w:tc>
          <w:tcPr>
            <w:tcW w:w="767" w:type="pct"/>
          </w:tcPr>
          <w:p w:rsidR="00A962E1" w:rsidRPr="0066197B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66197B">
              <w:rPr>
                <w:bCs/>
                <w:spacing w:val="-8"/>
                <w:kern w:val="36"/>
                <w:bdr w:val="none" w:sz="0" w:space="0" w:color="auto" w:frame="1"/>
              </w:rPr>
              <w:t>od do %</w:t>
            </w:r>
          </w:p>
        </w:tc>
        <w:tc>
          <w:tcPr>
            <w:tcW w:w="1073" w:type="pct"/>
          </w:tcPr>
          <w:p w:rsidR="00A962E1" w:rsidRPr="0066197B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66197B">
              <w:rPr>
                <w:bCs/>
                <w:spacing w:val="-8"/>
                <w:kern w:val="36"/>
                <w:bdr w:val="none" w:sz="0" w:space="0" w:color="auto" w:frame="1"/>
              </w:rPr>
              <w:t>min v rozsahu 0-99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66197B" w:rsidRDefault="00A962E1" w:rsidP="00172640">
            <w:pPr>
              <w:pStyle w:val="Odsekzoznamu"/>
              <w:keepNext/>
              <w:numPr>
                <w:ilvl w:val="1"/>
                <w:numId w:val="1"/>
              </w:numPr>
              <w:ind w:left="567" w:hanging="573"/>
              <w:contextualSpacing/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</w:pPr>
            <w:r w:rsidRPr="0066197B"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  <w:t>Meranie NIBP</w:t>
            </w:r>
          </w:p>
        </w:tc>
        <w:tc>
          <w:tcPr>
            <w:tcW w:w="767" w:type="pct"/>
          </w:tcPr>
          <w:p w:rsidR="00A962E1" w:rsidRPr="0066197B" w:rsidRDefault="00A962E1" w:rsidP="00172640">
            <w:pPr>
              <w:jc w:val="both"/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073" w:type="pct"/>
          </w:tcPr>
          <w:p w:rsidR="00A962E1" w:rsidRPr="0066197B" w:rsidRDefault="00A962E1" w:rsidP="00172640">
            <w:pPr>
              <w:jc w:val="both"/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112" w:type="pct"/>
          </w:tcPr>
          <w:p w:rsidR="00A962E1" w:rsidRPr="00EB410D" w:rsidRDefault="00A962E1" w:rsidP="00172640">
            <w:pPr>
              <w:jc w:val="both"/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66197B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66197B">
              <w:rPr>
                <w:bCs/>
                <w:spacing w:val="-8"/>
                <w:kern w:val="36"/>
                <w:bdr w:val="none" w:sz="0" w:space="0" w:color="auto" w:frame="1"/>
              </w:rPr>
              <w:t>Meracia metóda</w:t>
            </w:r>
          </w:p>
        </w:tc>
        <w:tc>
          <w:tcPr>
            <w:tcW w:w="767" w:type="pct"/>
          </w:tcPr>
          <w:p w:rsidR="00A962E1" w:rsidRPr="0066197B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66197B">
              <w:rPr>
                <w:bCs/>
                <w:spacing w:val="-8"/>
                <w:kern w:val="36"/>
                <w:bdr w:val="none" w:sz="0" w:space="0" w:color="auto" w:frame="1"/>
              </w:rPr>
              <w:t>typ</w:t>
            </w:r>
          </w:p>
        </w:tc>
        <w:tc>
          <w:tcPr>
            <w:tcW w:w="1073" w:type="pct"/>
          </w:tcPr>
          <w:p w:rsidR="00A962E1" w:rsidRPr="0066197B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proofErr w:type="spellStart"/>
            <w:r w:rsidRPr="0066197B">
              <w:rPr>
                <w:bCs/>
                <w:spacing w:val="-8"/>
                <w:kern w:val="36"/>
                <w:bdr w:val="none" w:sz="0" w:space="0" w:color="auto" w:frame="1"/>
              </w:rPr>
              <w:t>oscilometrická</w:t>
            </w:r>
            <w:proofErr w:type="spellEnd"/>
            <w:r w:rsidRPr="0066197B">
              <w:rPr>
                <w:bCs/>
                <w:spacing w:val="-8"/>
                <w:kern w:val="36"/>
                <w:bdr w:val="none" w:sz="0" w:space="0" w:color="auto" w:frame="1"/>
              </w:rPr>
              <w:t xml:space="preserve"> alebo </w:t>
            </w:r>
            <w:proofErr w:type="spellStart"/>
            <w:r w:rsidRPr="0066197B">
              <w:rPr>
                <w:bCs/>
                <w:spacing w:val="-8"/>
                <w:kern w:val="36"/>
                <w:bdr w:val="none" w:sz="0" w:space="0" w:color="auto" w:frame="1"/>
              </w:rPr>
              <w:t>dvojhadicová</w:t>
            </w:r>
            <w:proofErr w:type="spellEnd"/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 xml:space="preserve">Rozsah merania </w:t>
            </w:r>
            <w:proofErr w:type="spellStart"/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sys</w:t>
            </w:r>
            <w:proofErr w:type="spellEnd"/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 xml:space="preserve"> tlaku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proofErr w:type="spellStart"/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mmHG</w:t>
            </w:r>
            <w:proofErr w:type="spellEnd"/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min v rozsahu 40-2</w:t>
            </w:r>
            <w:r>
              <w:rPr>
                <w:bCs/>
                <w:spacing w:val="-8"/>
                <w:kern w:val="36"/>
                <w:bdr w:val="none" w:sz="0" w:space="0" w:color="auto" w:frame="1"/>
              </w:rPr>
              <w:t>7</w:t>
            </w: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0 (dospelý pacient)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 xml:space="preserve">Rozsah merania </w:t>
            </w:r>
            <w:proofErr w:type="spellStart"/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dia</w:t>
            </w:r>
            <w:proofErr w:type="spellEnd"/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 xml:space="preserve"> tlaku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proofErr w:type="spellStart"/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mmHG</w:t>
            </w:r>
            <w:proofErr w:type="spellEnd"/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 xml:space="preserve">min v rozsahu 15-210 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1"/>
                <w:numId w:val="1"/>
              </w:numPr>
              <w:ind w:left="567" w:hanging="573"/>
              <w:contextualSpacing/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</w:pPr>
            <w:r w:rsidRPr="00D038FD"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  <w:t>Meranie IBP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jc w:val="both"/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073" w:type="pct"/>
          </w:tcPr>
          <w:p w:rsidR="00A962E1" w:rsidRPr="00EB410D" w:rsidRDefault="00A962E1" w:rsidP="00172640">
            <w:pPr>
              <w:jc w:val="both"/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112" w:type="pct"/>
          </w:tcPr>
          <w:p w:rsidR="00A962E1" w:rsidRPr="00EB410D" w:rsidRDefault="00A962E1" w:rsidP="00172640">
            <w:pPr>
              <w:jc w:val="both"/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620FD1">
              <w:rPr>
                <w:bCs/>
                <w:spacing w:val="-8"/>
                <w:kern w:val="36"/>
                <w:bdr w:val="none" w:sz="0" w:space="0" w:color="auto" w:frame="1"/>
              </w:rPr>
              <w:t>Meraných kanálov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620FD1">
              <w:rPr>
                <w:bCs/>
                <w:spacing w:val="-8"/>
                <w:kern w:val="36"/>
                <w:bdr w:val="none" w:sz="0" w:space="0" w:color="auto" w:frame="1"/>
              </w:rPr>
              <w:t>počet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>
              <w:rPr>
                <w:bCs/>
                <w:spacing w:val="-8"/>
                <w:kern w:val="36"/>
                <w:bdr w:val="none" w:sz="0" w:space="0" w:color="auto" w:frame="1"/>
              </w:rPr>
              <w:t>min. 2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620FD1">
              <w:rPr>
                <w:bCs/>
                <w:spacing w:val="-8"/>
                <w:kern w:val="36"/>
                <w:bdr w:val="none" w:sz="0" w:space="0" w:color="auto" w:frame="1"/>
              </w:rPr>
              <w:t>Rozsah merania pre každý tlak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proofErr w:type="spellStart"/>
            <w:r w:rsidRPr="00620FD1">
              <w:rPr>
                <w:bCs/>
                <w:spacing w:val="-8"/>
                <w:kern w:val="36"/>
                <w:bdr w:val="none" w:sz="0" w:space="0" w:color="auto" w:frame="1"/>
              </w:rPr>
              <w:t>mmHg</w:t>
            </w:r>
            <w:proofErr w:type="spellEnd"/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620FD1">
              <w:rPr>
                <w:bCs/>
                <w:spacing w:val="-8"/>
                <w:kern w:val="36"/>
                <w:bdr w:val="none" w:sz="0" w:space="0" w:color="auto" w:frame="1"/>
              </w:rPr>
              <w:t>min -40 až 300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1"/>
                <w:numId w:val="1"/>
              </w:numPr>
              <w:ind w:left="567" w:hanging="573"/>
              <w:contextualSpacing/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</w:pPr>
            <w:r w:rsidRPr="00D038FD"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  <w:t xml:space="preserve">Meranie </w:t>
            </w:r>
            <w:proofErr w:type="spellStart"/>
            <w:r w:rsidRPr="00D038FD"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  <w:t>kapnografie</w:t>
            </w:r>
            <w:proofErr w:type="spellEnd"/>
          </w:p>
        </w:tc>
        <w:tc>
          <w:tcPr>
            <w:tcW w:w="767" w:type="pct"/>
          </w:tcPr>
          <w:p w:rsidR="00A962E1" w:rsidRPr="00EB410D" w:rsidRDefault="00A962E1" w:rsidP="00172640">
            <w:pPr>
              <w:jc w:val="both"/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073" w:type="pct"/>
          </w:tcPr>
          <w:p w:rsidR="00A962E1" w:rsidRPr="00EB410D" w:rsidRDefault="00A962E1" w:rsidP="00172640">
            <w:pPr>
              <w:jc w:val="both"/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112" w:type="pct"/>
          </w:tcPr>
          <w:p w:rsidR="00A962E1" w:rsidRPr="00EB410D" w:rsidRDefault="00A962E1" w:rsidP="00172640">
            <w:pPr>
              <w:jc w:val="both"/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620FD1">
              <w:rPr>
                <w:bCs/>
                <w:spacing w:val="-8"/>
                <w:kern w:val="36"/>
                <w:bdr w:val="none" w:sz="0" w:space="0" w:color="auto" w:frame="1"/>
              </w:rPr>
              <w:t xml:space="preserve">Meranie </w:t>
            </w:r>
            <w:proofErr w:type="spellStart"/>
            <w:r w:rsidRPr="00620FD1">
              <w:rPr>
                <w:bCs/>
                <w:spacing w:val="-8"/>
                <w:kern w:val="36"/>
                <w:bdr w:val="none" w:sz="0" w:space="0" w:color="auto" w:frame="1"/>
              </w:rPr>
              <w:t>kapnografie</w:t>
            </w:r>
            <w:proofErr w:type="spellEnd"/>
          </w:p>
        </w:tc>
        <w:tc>
          <w:tcPr>
            <w:tcW w:w="767" w:type="pct"/>
          </w:tcPr>
          <w:p w:rsidR="00A962E1" w:rsidRPr="00EB410D" w:rsidRDefault="00A962E1" w:rsidP="00172640">
            <w:pPr>
              <w:jc w:val="both"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jc w:val="both"/>
              <w:rPr>
                <w:bCs/>
                <w:spacing w:val="-8"/>
                <w:kern w:val="36"/>
                <w:bdr w:val="none" w:sz="0" w:space="0" w:color="auto" w:frame="1"/>
              </w:rPr>
            </w:pPr>
            <w:r>
              <w:rPr>
                <w:bCs/>
                <w:spacing w:val="-8"/>
                <w:kern w:val="36"/>
                <w:bdr w:val="none" w:sz="0" w:space="0" w:color="auto" w:frame="1"/>
              </w:rPr>
              <w:t xml:space="preserve">áno </w:t>
            </w:r>
            <w:r w:rsidRPr="00620FD1">
              <w:rPr>
                <w:bCs/>
                <w:spacing w:val="-8"/>
                <w:kern w:val="36"/>
                <w:bdr w:val="none" w:sz="0" w:space="0" w:color="auto" w:frame="1"/>
              </w:rPr>
              <w:t xml:space="preserve">(min </w:t>
            </w:r>
            <w:proofErr w:type="spellStart"/>
            <w:r w:rsidRPr="00620FD1">
              <w:rPr>
                <w:bCs/>
                <w:spacing w:val="-8"/>
                <w:kern w:val="36"/>
                <w:bdr w:val="none" w:sz="0" w:space="0" w:color="auto" w:frame="1"/>
              </w:rPr>
              <w:t>sidestream</w:t>
            </w:r>
            <w:proofErr w:type="spellEnd"/>
            <w:r w:rsidRPr="00620FD1">
              <w:rPr>
                <w:bCs/>
                <w:spacing w:val="-8"/>
                <w:kern w:val="36"/>
                <w:bdr w:val="none" w:sz="0" w:space="0" w:color="auto" w:frame="1"/>
              </w:rPr>
              <w:t>)</w:t>
            </w:r>
          </w:p>
        </w:tc>
        <w:tc>
          <w:tcPr>
            <w:tcW w:w="1112" w:type="pct"/>
          </w:tcPr>
          <w:p w:rsidR="00A962E1" w:rsidRPr="00EB410D" w:rsidRDefault="00A962E1" w:rsidP="00172640">
            <w:pPr>
              <w:jc w:val="both"/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1"/>
                <w:numId w:val="1"/>
              </w:numPr>
              <w:ind w:left="567" w:hanging="573"/>
              <w:contextualSpacing/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  <w:t>Ostatné parametre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jc w:val="both"/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073" w:type="pct"/>
          </w:tcPr>
          <w:p w:rsidR="00A962E1" w:rsidRPr="00EB410D" w:rsidRDefault="00A962E1" w:rsidP="00172640">
            <w:pPr>
              <w:jc w:val="both"/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112" w:type="pct"/>
          </w:tcPr>
          <w:p w:rsidR="00A962E1" w:rsidRPr="00EB410D" w:rsidRDefault="00A962E1" w:rsidP="00172640">
            <w:pPr>
              <w:jc w:val="both"/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6F3127">
              <w:rPr>
                <w:bCs/>
                <w:spacing w:val="-8"/>
                <w:kern w:val="36"/>
                <w:bdr w:val="none" w:sz="0" w:space="0" w:color="auto" w:frame="1"/>
              </w:rPr>
              <w:t>Možnosť zobrazenia z merania kontinuálneho srdcového výdaja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Je možné pripojenie na centrálnu monitorovaciu stanicu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 xml:space="preserve">Voľba kontinuálneho merania a tiež frekvencie merania funkcií 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 / vymenovať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6F3127">
              <w:rPr>
                <w:bCs/>
                <w:spacing w:val="-8"/>
                <w:kern w:val="36"/>
                <w:bdr w:val="none" w:sz="0" w:space="0" w:color="auto" w:frame="1"/>
              </w:rPr>
              <w:t>Rozhranie s nemocničným informačným systémom je možné, podpora HL7 štandardu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Odlíšenie grafických a akustických alarmov podľa stupňa závažnosti nameraných hodnôt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851" w:hanging="851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Možnosť potlačenia alarmu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851" w:hanging="851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6F3127">
              <w:rPr>
                <w:bCs/>
                <w:spacing w:val="-8"/>
                <w:kern w:val="36"/>
                <w:bdr w:val="none" w:sz="0" w:space="0" w:color="auto" w:frame="1"/>
              </w:rPr>
              <w:t xml:space="preserve">Analýza </w:t>
            </w:r>
            <w:proofErr w:type="spellStart"/>
            <w:r w:rsidRPr="006F3127">
              <w:rPr>
                <w:bCs/>
                <w:spacing w:val="-8"/>
                <w:kern w:val="36"/>
                <w:bdr w:val="none" w:sz="0" w:space="0" w:color="auto" w:frame="1"/>
              </w:rPr>
              <w:t>arytmie</w:t>
            </w:r>
            <w:proofErr w:type="spellEnd"/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1"/>
                <w:numId w:val="1"/>
              </w:numPr>
              <w:ind w:left="567" w:hanging="573"/>
              <w:contextualSpacing/>
              <w:rPr>
                <w:color w:val="000000"/>
              </w:rPr>
            </w:pPr>
            <w:r w:rsidRPr="00EB410D">
              <w:rPr>
                <w:b/>
                <w:bCs/>
                <w:i/>
                <w:spacing w:val="-8"/>
                <w:kern w:val="36"/>
                <w:bdr w:val="none" w:sz="0" w:space="0" w:color="auto" w:frame="1"/>
              </w:rPr>
              <w:t>Záručný a pozáručný servis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jc w:val="both"/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073" w:type="pct"/>
          </w:tcPr>
          <w:p w:rsidR="00A962E1" w:rsidRPr="00EB410D" w:rsidRDefault="00A962E1" w:rsidP="00172640">
            <w:pPr>
              <w:jc w:val="both"/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112" w:type="pct"/>
          </w:tcPr>
          <w:p w:rsidR="00A962E1" w:rsidRPr="00EB410D" w:rsidRDefault="00A962E1" w:rsidP="00172640">
            <w:pPr>
              <w:jc w:val="both"/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Vykonanie servisu od nahlásenia poruchy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hod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max 24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Všetky dostupné aktualizácie softvéru v</w:t>
            </w:r>
            <w:r>
              <w:rPr>
                <w:bCs/>
                <w:spacing w:val="-8"/>
                <w:kern w:val="36"/>
                <w:bdr w:val="none" w:sz="0" w:space="0" w:color="auto" w:frame="1"/>
              </w:rPr>
              <w:t> </w:t>
            </w: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cene nákupu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  <w:trHeight w:val="4543"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lastRenderedPageBreak/>
              <w:t>Základné príslušenstvo (vymenovať)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6F3127">
              <w:rPr>
                <w:bCs/>
                <w:spacing w:val="-8"/>
                <w:kern w:val="36"/>
                <w:bdr w:val="none" w:sz="0" w:space="0" w:color="auto" w:frame="1"/>
              </w:rPr>
              <w:t xml:space="preserve">1x sieťový kábel, 1x </w:t>
            </w:r>
            <w:proofErr w:type="spellStart"/>
            <w:r w:rsidRPr="006F3127">
              <w:rPr>
                <w:bCs/>
                <w:spacing w:val="-8"/>
                <w:kern w:val="36"/>
                <w:bdr w:val="none" w:sz="0" w:space="0" w:color="auto" w:frame="1"/>
              </w:rPr>
              <w:t>rozdvojka</w:t>
            </w:r>
            <w:proofErr w:type="spellEnd"/>
            <w:r w:rsidRPr="006F3127">
              <w:rPr>
                <w:bCs/>
                <w:spacing w:val="-8"/>
                <w:kern w:val="36"/>
                <w:bdr w:val="none" w:sz="0" w:space="0" w:color="auto" w:frame="1"/>
              </w:rPr>
              <w:t xml:space="preserve"> + 1x kábel na invazívne meranie krvného tlaku, 1x teplotná </w:t>
            </w:r>
            <w:proofErr w:type="spellStart"/>
            <w:r w:rsidRPr="006F3127">
              <w:rPr>
                <w:bCs/>
                <w:spacing w:val="-8"/>
                <w:kern w:val="36"/>
                <w:bdr w:val="none" w:sz="0" w:space="0" w:color="auto" w:frame="1"/>
              </w:rPr>
              <w:t>rozdvojka</w:t>
            </w:r>
            <w:proofErr w:type="spellEnd"/>
            <w:r w:rsidRPr="006F3127">
              <w:rPr>
                <w:bCs/>
                <w:spacing w:val="-8"/>
                <w:kern w:val="36"/>
                <w:bdr w:val="none" w:sz="0" w:space="0" w:color="auto" w:frame="1"/>
              </w:rPr>
              <w:t xml:space="preserve"> (v</w:t>
            </w:r>
            <w:r>
              <w:rPr>
                <w:bCs/>
                <w:spacing w:val="-8"/>
                <w:kern w:val="36"/>
                <w:bdr w:val="none" w:sz="0" w:space="0" w:color="auto" w:frame="1"/>
              </w:rPr>
              <w:t> </w:t>
            </w:r>
            <w:r w:rsidRPr="006F3127">
              <w:rPr>
                <w:bCs/>
                <w:spacing w:val="-8"/>
                <w:kern w:val="36"/>
                <w:bdr w:val="none" w:sz="0" w:space="0" w:color="auto" w:frame="1"/>
              </w:rPr>
              <w:t xml:space="preserve">prípade, že monitor nemá min. 2 priame vstupy pre pripojenie teplotných sond), 1x teplotná sonda, 1x SpO2 silikónový senzor, 1x predĺženie SpO2, 1x hadica a 1x  manžeta na meranie neinvazívneho krvného tlaku, 1x EKG kábel (3-5 zvodový), príslušenstvo na meranie </w:t>
            </w:r>
            <w:proofErr w:type="spellStart"/>
            <w:r w:rsidRPr="006F3127">
              <w:rPr>
                <w:bCs/>
                <w:spacing w:val="-8"/>
                <w:kern w:val="36"/>
                <w:bdr w:val="none" w:sz="0" w:space="0" w:color="auto" w:frame="1"/>
              </w:rPr>
              <w:t>kapnografie</w:t>
            </w:r>
            <w:proofErr w:type="spellEnd"/>
          </w:p>
        </w:tc>
        <w:tc>
          <w:tcPr>
            <w:tcW w:w="1112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A962E1" w:rsidRPr="00EB410D" w:rsidTr="00172640">
        <w:trPr>
          <w:cantSplit/>
        </w:trPr>
        <w:tc>
          <w:tcPr>
            <w:tcW w:w="2048" w:type="pct"/>
          </w:tcPr>
          <w:p w:rsidR="00A962E1" w:rsidRPr="00EB410D" w:rsidRDefault="00A962E1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Zaškolenie personálu, doprava a inštalácia v</w:t>
            </w:r>
            <w:r>
              <w:rPr>
                <w:bCs/>
                <w:spacing w:val="-8"/>
                <w:kern w:val="36"/>
                <w:bdr w:val="none" w:sz="0" w:space="0" w:color="auto" w:frame="1"/>
              </w:rPr>
              <w:t> </w:t>
            </w: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cene nákupu</w:t>
            </w:r>
          </w:p>
        </w:tc>
        <w:tc>
          <w:tcPr>
            <w:tcW w:w="767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</w:t>
            </w:r>
          </w:p>
        </w:tc>
        <w:tc>
          <w:tcPr>
            <w:tcW w:w="1073" w:type="pct"/>
          </w:tcPr>
          <w:p w:rsidR="00A962E1" w:rsidRPr="00EB410D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</w:t>
            </w:r>
          </w:p>
        </w:tc>
        <w:tc>
          <w:tcPr>
            <w:tcW w:w="1112" w:type="pct"/>
          </w:tcPr>
          <w:p w:rsidR="00A962E1" w:rsidRDefault="00A962E1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  <w:tr w:rsidR="0070592D" w:rsidRPr="00EB410D" w:rsidTr="00172640">
        <w:trPr>
          <w:cantSplit/>
        </w:trPr>
        <w:tc>
          <w:tcPr>
            <w:tcW w:w="2048" w:type="pct"/>
          </w:tcPr>
          <w:p w:rsidR="0070592D" w:rsidRPr="00EB410D" w:rsidRDefault="0070592D" w:rsidP="00172640">
            <w:pPr>
              <w:pStyle w:val="Odsekzoznamu"/>
              <w:numPr>
                <w:ilvl w:val="2"/>
                <w:numId w:val="1"/>
              </w:numPr>
              <w:ind w:left="709" w:hanging="709"/>
              <w:contextualSpacing/>
              <w:rPr>
                <w:bCs/>
                <w:spacing w:val="-8"/>
                <w:kern w:val="36"/>
                <w:bdr w:val="none" w:sz="0" w:space="0" w:color="auto" w:frame="1"/>
              </w:rPr>
            </w:pPr>
            <w:r>
              <w:rPr>
                <w:bCs/>
                <w:spacing w:val="-8"/>
                <w:kern w:val="36"/>
                <w:bdr w:val="none" w:sz="0" w:space="0" w:color="auto" w:frame="1"/>
              </w:rPr>
              <w:t xml:space="preserve">Kompatibilita s centrálou výrobcu GE </w:t>
            </w:r>
            <w:proofErr w:type="spellStart"/>
            <w:r>
              <w:rPr>
                <w:bCs/>
                <w:spacing w:val="-8"/>
                <w:kern w:val="36"/>
                <w:bdr w:val="none" w:sz="0" w:space="0" w:color="auto" w:frame="1"/>
              </w:rPr>
              <w:t>Healthcare</w:t>
            </w:r>
            <w:proofErr w:type="spellEnd"/>
          </w:p>
        </w:tc>
        <w:tc>
          <w:tcPr>
            <w:tcW w:w="767" w:type="pct"/>
          </w:tcPr>
          <w:p w:rsidR="0070592D" w:rsidRPr="00EB410D" w:rsidRDefault="0070592D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 / nie</w:t>
            </w:r>
          </w:p>
        </w:tc>
        <w:tc>
          <w:tcPr>
            <w:tcW w:w="1073" w:type="pct"/>
          </w:tcPr>
          <w:p w:rsidR="0070592D" w:rsidRPr="00EB410D" w:rsidRDefault="0070592D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  <w:r w:rsidRPr="00EB410D">
              <w:rPr>
                <w:bCs/>
                <w:spacing w:val="-8"/>
                <w:kern w:val="36"/>
                <w:bdr w:val="none" w:sz="0" w:space="0" w:color="auto" w:frame="1"/>
              </w:rPr>
              <w:t>áno</w:t>
            </w:r>
          </w:p>
        </w:tc>
        <w:tc>
          <w:tcPr>
            <w:tcW w:w="1112" w:type="pct"/>
          </w:tcPr>
          <w:p w:rsidR="0070592D" w:rsidRDefault="0070592D" w:rsidP="00172640">
            <w:pPr>
              <w:rPr>
                <w:bCs/>
                <w:spacing w:val="-8"/>
                <w:kern w:val="36"/>
                <w:bdr w:val="none" w:sz="0" w:space="0" w:color="auto" w:frame="1"/>
              </w:rPr>
            </w:pPr>
          </w:p>
        </w:tc>
      </w:tr>
    </w:tbl>
    <w:p w:rsidR="00A962E1" w:rsidRDefault="00A962E1"/>
    <w:sectPr w:rsidR="00A962E1" w:rsidSect="00054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444C2"/>
    <w:multiLevelType w:val="multilevel"/>
    <w:tmpl w:val="B624FE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62E1"/>
    <w:rsid w:val="00054141"/>
    <w:rsid w:val="000A00CB"/>
    <w:rsid w:val="006A59F4"/>
    <w:rsid w:val="0070592D"/>
    <w:rsid w:val="00A9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A962E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martin.kontos</dc:creator>
  <cp:lastModifiedBy>martin.kontos</cp:lastModifiedBy>
  <cp:revision>2</cp:revision>
  <dcterms:created xsi:type="dcterms:W3CDTF">2022-05-04T08:27:00Z</dcterms:created>
  <dcterms:modified xsi:type="dcterms:W3CDTF">2022-05-04T10:53:00Z</dcterms:modified>
</cp:coreProperties>
</file>