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4C9BFEA"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C994A9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84307">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590C6CE"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84307">
        <w:rPr>
          <w:rFonts w:ascii="Arial" w:hAnsi="Arial" w:cs="Arial"/>
          <w:b/>
          <w:sz w:val="28"/>
          <w:szCs w:val="28"/>
        </w:rPr>
        <w:t xml:space="preserve">Označovač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5B3B5249"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84307">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84307">
        <w:rPr>
          <w:rFonts w:ascii="Arial" w:hAnsi="Arial" w:cs="Arial"/>
          <w:color w:val="000000"/>
          <w:sz w:val="22"/>
          <w:szCs w:val="22"/>
        </w:rPr>
        <w:t>20.6.2022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930F88F"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84307">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7DD15DD1"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84307">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DFAC05F"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5555415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471F7D1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3D29162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84307">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223373B8"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84307">
        <w:rPr>
          <w:rFonts w:ascii="Arial" w:hAnsi="Arial" w:cs="Arial"/>
          <w:color w:val="000000" w:themeColor="text1"/>
          <w:sz w:val="22"/>
          <w:szCs w:val="22"/>
        </w:rPr>
        <w:t>2021988848</w:t>
      </w:r>
      <w:r w:rsidR="001032F1">
        <w:rPr>
          <w:rFonts w:ascii="Arial" w:hAnsi="Arial" w:cs="Arial"/>
          <w:color w:val="000000" w:themeColor="text1"/>
          <w:sz w:val="22"/>
          <w:szCs w:val="22"/>
        </w:rPr>
        <w:fldChar w:fldCharType="end"/>
      </w:r>
    </w:p>
    <w:bookmarkEnd w:id="2"/>
    <w:p w14:paraId="522AAF06" w14:textId="180E819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84307">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03484BC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84307">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0D36A0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84307">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C4FEE99"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84307">
        <w:rPr>
          <w:rFonts w:ascii="Arial" w:hAnsi="Arial" w:cs="Arial"/>
          <w:b/>
          <w:color w:val="000000" w:themeColor="text1"/>
          <w:sz w:val="22"/>
          <w:szCs w:val="22"/>
        </w:rPr>
        <w:t xml:space="preserve">Označovač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3B9E57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84307">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7737F36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984307">
        <w:rPr>
          <w:rFonts w:ascii="Arial" w:hAnsi="Arial" w:cs="Arial"/>
          <w:b/>
          <w:bCs/>
          <w:color w:val="000000" w:themeColor="text1"/>
          <w:sz w:val="22"/>
          <w:szCs w:val="22"/>
        </w:rPr>
        <w:t>47 470,67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CBBC732"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84307">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28F9C0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84307">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84307">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84307">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5548F37D"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84307">
        <w:rPr>
          <w:rFonts w:ascii="Arial" w:hAnsi="Arial" w:cs="Arial"/>
          <w:color w:val="000000" w:themeColor="text1"/>
          <w:sz w:val="22"/>
          <w:szCs w:val="22"/>
        </w:rPr>
        <w:t>do 4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4A6118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4307">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3E38AE1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84307">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0FA6A7D3"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4307">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D168EA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84307">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CCFA45C"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84307">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podpísania splnomocnenou osobou sa predkladá scan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20B94B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84307">
        <w:rPr>
          <w:rFonts w:ascii="Arial" w:hAnsi="Arial" w:cs="Arial"/>
          <w:b/>
          <w:bCs/>
          <w:color w:val="000000"/>
          <w:sz w:val="22"/>
          <w:szCs w:val="22"/>
        </w:rPr>
        <w:t>1.7.2022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BFA8D8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84307">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3669DB">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D1BD4AF"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4307">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4307">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3F777C9"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4307">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7E3211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4307">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9DB"/>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84307"/>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2822</Words>
  <Characters>17447</Characters>
  <Application>Microsoft Office Word</Application>
  <DocSecurity>0</DocSecurity>
  <Lines>498</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2022-06-19T04:58:00Z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Kubus\VO\Baliaca linka\oznacovac\VARIABLES_PPA_VO.xlsx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Označovač </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Bizerba Czech &amp; Slovakia s.r.o., organizačná zložka (IČO: 31961177, SK)</vt:lpwstr>
  </property>
  <property fmtid="{D5CDD505-2E9C-101B-9397-08002B2CF9AE}" pid="28" name="PonukaUchadzac1">
    <vt:lpwstr/>
  </property>
  <property fmtid="{D5CDD505-2E9C-101B-9397-08002B2CF9AE}" pid="29" name="IDUdajeUchadzac2">
    <vt:lpwstr>PSG PLUS s.r.o. (IČO: 46377751, SK)</vt:lpwstr>
  </property>
  <property fmtid="{D5CDD505-2E9C-101B-9397-08002B2CF9AE}" pid="30" name="PonukaUchadzac2">
    <vt:lpwstr/>
  </property>
  <property fmtid="{D5CDD505-2E9C-101B-9397-08002B2CF9AE}" pid="31" name="IDUdajeUchadzac3">
    <vt:lpwstr>Multivac packaging Slovakia, s.r.o. (IČO: 51061368, SK)</vt:lpwstr>
  </property>
  <property fmtid="{D5CDD505-2E9C-101B-9397-08002B2CF9AE}" pid="32" name="PonukaUchadzac3">
    <vt:lpwstr/>
  </property>
  <property fmtid="{D5CDD505-2E9C-101B-9397-08002B2CF9AE}" pid="33" name="PHZbezDPH">
    <vt:lpwstr>47 470,67</vt:lpwstr>
  </property>
  <property fmtid="{D5CDD505-2E9C-101B-9397-08002B2CF9AE}" pid="34" name="PHZsDPH">
    <vt:lpwstr>56 964,80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4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Označovač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