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A8E8AD0"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DD491D">
        <w:rPr>
          <w:rFonts w:ascii="Garamond" w:hAnsi="Garamond"/>
          <w:b/>
          <w:bCs/>
          <w:sz w:val="20"/>
          <w:szCs w:val="20"/>
        </w:rPr>
        <w:t>5</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C9943A1"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DD491D">
        <w:rPr>
          <w:rFonts w:ascii="Garamond" w:hAnsi="Garamond"/>
          <w:b/>
          <w:bCs/>
          <w:sz w:val="20"/>
          <w:szCs w:val="20"/>
        </w:rPr>
        <w:t>5</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CDA4363" w:rsidR="00C50FAD" w:rsidRPr="0033307F" w:rsidRDefault="00855187" w:rsidP="00C50FAD">
      <w:pPr>
        <w:pStyle w:val="Odsekzoznamu"/>
        <w:spacing w:after="0" w:line="240" w:lineRule="auto"/>
        <w:rPr>
          <w:rFonts w:ascii="Garamond" w:hAnsi="Garamond"/>
          <w:sz w:val="20"/>
          <w:szCs w:val="20"/>
        </w:rPr>
      </w:pPr>
      <w:hyperlink r:id="rId9" w:history="1">
        <w:r w:rsidR="00DD491D" w:rsidRPr="000F60EA">
          <w:rPr>
            <w:rStyle w:val="Hypertextovprepojenie"/>
            <w:rFonts w:ascii="Garamond" w:hAnsi="Garamond"/>
            <w:sz w:val="20"/>
            <w:szCs w:val="20"/>
          </w:rPr>
          <w:t>https://josephine.proebiz.com/sk/tender/</w:t>
        </w:r>
        <w:r>
          <w:rPr>
            <w:rStyle w:val="Hypertextovprepojenie"/>
            <w:rFonts w:ascii="Garamond" w:hAnsi="Garamond"/>
            <w:sz w:val="20"/>
            <w:szCs w:val="20"/>
          </w:rPr>
          <w:t>28264</w:t>
        </w:r>
        <w:r w:rsidR="00DD491D" w:rsidRPr="000F60EA">
          <w:rPr>
            <w:rStyle w:val="Hypertextovprepojenie"/>
            <w:rFonts w:ascii="Garamond" w:hAnsi="Garamond"/>
            <w:sz w:val="20"/>
            <w:szCs w:val="20"/>
          </w:rPr>
          <w:t>/summary</w:t>
        </w:r>
      </w:hyperlink>
    </w:p>
    <w:p w14:paraId="37B366CE" w14:textId="77777777" w:rsidR="00C50FAD" w:rsidRPr="00520A5D" w:rsidRDefault="0085518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77EFB2E4" w:rsidR="00E3588A" w:rsidRPr="00E3588A" w:rsidRDefault="00855187" w:rsidP="00E3588A">
      <w:pPr>
        <w:pStyle w:val="Odsekzoznamu"/>
        <w:spacing w:after="0" w:line="240" w:lineRule="auto"/>
        <w:jc w:val="both"/>
        <w:rPr>
          <w:rFonts w:ascii="Garamond" w:hAnsi="Garamond"/>
          <w:b/>
          <w:bCs/>
          <w:sz w:val="20"/>
          <w:szCs w:val="20"/>
        </w:rPr>
      </w:pPr>
      <w:r>
        <w:rPr>
          <w:rFonts w:ascii="Garamond" w:hAnsi="Garamond"/>
          <w:b/>
          <w:bCs/>
          <w:sz w:val="20"/>
          <w:szCs w:val="20"/>
        </w:rPr>
        <w:t>28264</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F27E14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A05_2022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C4A4F57" w:rsidR="00844171" w:rsidRPr="0033307F" w:rsidRDefault="00DD491D" w:rsidP="00844171">
      <w:pPr>
        <w:pStyle w:val="Odsekzoznamu"/>
        <w:spacing w:after="0" w:line="240" w:lineRule="auto"/>
        <w:ind w:left="1125"/>
        <w:rPr>
          <w:rFonts w:ascii="Garamond" w:hAnsi="Garamond"/>
          <w:bCs/>
          <w:sz w:val="20"/>
          <w:szCs w:val="20"/>
        </w:rPr>
      </w:pPr>
      <w:r>
        <w:rPr>
          <w:rFonts w:ascii="Garamond" w:hAnsi="Garamond"/>
          <w:b/>
          <w:sz w:val="20"/>
          <w:szCs w:val="20"/>
        </w:rPr>
        <w:t>13</w:t>
      </w:r>
      <w:r w:rsidR="00855187">
        <w:rPr>
          <w:rFonts w:ascii="Garamond" w:hAnsi="Garamond"/>
          <w:b/>
          <w:sz w:val="20"/>
          <w:szCs w:val="20"/>
        </w:rPr>
        <w:t>2 547,04</w:t>
      </w:r>
      <w:r>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F6FBE31"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554A5F" w:rsidRPr="00554A5F">
        <w:rPr>
          <w:rFonts w:ascii="Garamond" w:hAnsi="Garamond"/>
          <w:b/>
          <w:sz w:val="20"/>
          <w:szCs w:val="20"/>
        </w:rPr>
        <w:t>18</w:t>
      </w:r>
      <w:r w:rsidR="00DD491D">
        <w:rPr>
          <w:rFonts w:ascii="Garamond" w:hAnsi="Garamond"/>
          <w:b/>
          <w:sz w:val="20"/>
          <w:szCs w:val="20"/>
        </w:rPr>
        <w:t>.07</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DD491D">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85518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B5B20D8"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54A5F">
        <w:rPr>
          <w:rFonts w:ascii="Garamond" w:hAnsi="Garamond"/>
          <w:b/>
          <w:sz w:val="20"/>
          <w:szCs w:val="20"/>
        </w:rPr>
        <w:t>18</w:t>
      </w:r>
      <w:r w:rsidR="00DD491D">
        <w:rPr>
          <w:rFonts w:ascii="Garamond" w:hAnsi="Garamond"/>
          <w:b/>
          <w:sz w:val="20"/>
          <w:szCs w:val="20"/>
        </w:rPr>
        <w:t>.07</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DD491D">
        <w:rPr>
          <w:rFonts w:ascii="Garamond" w:hAnsi="Garamond"/>
          <w:b/>
          <w:sz w:val="20"/>
          <w:szCs w:val="20"/>
        </w:rPr>
        <w:t>9</w:t>
      </w:r>
      <w:r w:rsidR="009A10EA">
        <w:rPr>
          <w:rFonts w:ascii="Garamond" w:hAnsi="Garamond"/>
          <w:b/>
          <w:sz w:val="20"/>
          <w:szCs w:val="20"/>
        </w:rPr>
        <w:t>.</w:t>
      </w:r>
      <w:r w:rsidR="00F454B5" w:rsidRPr="00DD491D">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2234A6B"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EF35B4">
        <w:rPr>
          <w:rFonts w:ascii="Garamond" w:hAnsi="Garamond"/>
          <w:sz w:val="20"/>
          <w:szCs w:val="20"/>
        </w:rPr>
        <w:t>07.07.2022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D7F26F4"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DD491D">
        <w:rPr>
          <w:rFonts w:ascii="Garamond" w:hAnsi="Garamond"/>
          <w:b/>
          <w:bCs/>
          <w:sz w:val="20"/>
          <w:szCs w:val="20"/>
        </w:rPr>
        <w:t>5</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0E018D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DD491D">
        <w:rPr>
          <w:rFonts w:ascii="Garamond" w:hAnsi="Garamond"/>
          <w:b/>
          <w:bCs/>
          <w:sz w:val="20"/>
          <w:szCs w:val="20"/>
        </w:rPr>
        <w:t>5</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C7F0E"/>
    <w:rsid w:val="004F64AF"/>
    <w:rsid w:val="005075C4"/>
    <w:rsid w:val="00547FD3"/>
    <w:rsid w:val="00553364"/>
    <w:rsid w:val="00554A5F"/>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7532/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7</Pages>
  <Words>1913</Words>
  <Characters>10905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99</cp:revision>
  <cp:lastPrinted>2020-02-25T13:07:00Z</cp:lastPrinted>
  <dcterms:created xsi:type="dcterms:W3CDTF">2020-01-21T11:36:00Z</dcterms:created>
  <dcterms:modified xsi:type="dcterms:W3CDTF">2022-07-07T18:39:00Z</dcterms:modified>
</cp:coreProperties>
</file>