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4E98C11" w:rsidR="005337B7" w:rsidRPr="0056299A" w:rsidRDefault="00B11B74" w:rsidP="004628F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riaditeľ OZ </w:t>
            </w:r>
            <w:proofErr w:type="spellStart"/>
            <w:r w:rsidR="004628FF">
              <w:rPr>
                <w:rFonts w:cs="Arial"/>
                <w:szCs w:val="20"/>
              </w:rPr>
              <w:t>OZ</w:t>
            </w:r>
            <w:proofErr w:type="spellEnd"/>
            <w:r w:rsidR="004628FF">
              <w:rPr>
                <w:rFonts w:cs="Arial"/>
                <w:szCs w:val="20"/>
              </w:rPr>
              <w:t xml:space="preserve">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4628FF" w14:paraId="77B73EE0" w14:textId="77777777" w:rsidTr="00130BAD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524EB7FE" w14:textId="77777777" w:rsidR="004628FF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30F565A3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5148FA4D" w14:textId="77777777" w:rsidR="004628FF" w:rsidRPr="007C5555" w:rsidRDefault="004628FF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4628FF" w14:paraId="428678F2" w14:textId="77777777" w:rsidTr="00130BAD">
        <w:tc>
          <w:tcPr>
            <w:tcW w:w="388" w:type="pct"/>
          </w:tcPr>
          <w:p w14:paraId="5C853644" w14:textId="51F0FB73" w:rsidR="004628FF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4628FF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7D7FA744" w14:textId="7F789C5E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2500" w:type="pct"/>
            <w:vAlign w:val="center"/>
          </w:tcPr>
          <w:p w14:paraId="2540D05E" w14:textId="5938CE53" w:rsidR="004628FF" w:rsidRDefault="0089707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4628FF">
              <w:rPr>
                <w:rFonts w:cs="Arial"/>
                <w:szCs w:val="20"/>
              </w:rPr>
              <w:t>00 ton</w:t>
            </w:r>
          </w:p>
        </w:tc>
        <w:bookmarkStart w:id="0" w:name="_GoBack"/>
        <w:bookmarkEnd w:id="0"/>
      </w:tr>
      <w:tr w:rsidR="004628FF" w14:paraId="54B28290" w14:textId="77777777" w:rsidTr="00130BAD">
        <w:tc>
          <w:tcPr>
            <w:tcW w:w="388" w:type="pct"/>
          </w:tcPr>
          <w:p w14:paraId="3BDAAABD" w14:textId="1A693DEB" w:rsidR="004628FF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4628FF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4ED4F1CC" w14:textId="7FF99282" w:rsidR="004628FF" w:rsidRPr="00F41AB6" w:rsidRDefault="008758E3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5A4CF07B" w14:textId="18FD38C2" w:rsidR="004628FF" w:rsidRDefault="0089707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</w:t>
            </w:r>
            <w:r w:rsidR="00A20028">
              <w:rPr>
                <w:rFonts w:cs="Arial"/>
                <w:szCs w:val="20"/>
              </w:rPr>
              <w:t>0</w:t>
            </w:r>
            <w:r w:rsidR="004628FF">
              <w:rPr>
                <w:rFonts w:cs="Arial"/>
                <w:szCs w:val="20"/>
              </w:rPr>
              <w:t xml:space="preserve"> ton</w:t>
            </w:r>
          </w:p>
        </w:tc>
      </w:tr>
      <w:tr w:rsidR="008758E3" w14:paraId="7E57A855" w14:textId="77777777" w:rsidTr="00130BAD">
        <w:tc>
          <w:tcPr>
            <w:tcW w:w="388" w:type="pct"/>
          </w:tcPr>
          <w:p w14:paraId="66156AF9" w14:textId="36FCAA89" w:rsidR="008758E3" w:rsidRDefault="00B313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8758E3">
              <w:rPr>
                <w:rFonts w:cs="Arial"/>
                <w:szCs w:val="20"/>
              </w:rPr>
              <w:t>.</w:t>
            </w:r>
          </w:p>
        </w:tc>
        <w:tc>
          <w:tcPr>
            <w:tcW w:w="2112" w:type="pct"/>
            <w:vAlign w:val="center"/>
          </w:tcPr>
          <w:p w14:paraId="5EB5BFA0" w14:textId="32C18D52" w:rsidR="008758E3" w:rsidRDefault="0089707F" w:rsidP="00130BA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2500" w:type="pct"/>
            <w:vAlign w:val="center"/>
          </w:tcPr>
          <w:p w14:paraId="7D854FE9" w14:textId="19634473" w:rsidR="008758E3" w:rsidRDefault="0089707F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8758E3">
              <w:rPr>
                <w:rFonts w:cs="Arial"/>
                <w:szCs w:val="20"/>
              </w:rPr>
              <w:t>00 ton</w:t>
            </w:r>
          </w:p>
        </w:tc>
      </w:tr>
      <w:tr w:rsidR="0089707F" w14:paraId="4385A817" w14:textId="77777777" w:rsidTr="00130BAD">
        <w:tc>
          <w:tcPr>
            <w:tcW w:w="388" w:type="pct"/>
          </w:tcPr>
          <w:p w14:paraId="28199AD1" w14:textId="7A8F9079" w:rsidR="0089707F" w:rsidRDefault="0089707F" w:rsidP="0089707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7954FE11" w14:textId="3FEBAED0" w:rsidR="0089707F" w:rsidRDefault="0089707F" w:rsidP="0089707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2500" w:type="pct"/>
            <w:vAlign w:val="center"/>
          </w:tcPr>
          <w:p w14:paraId="4CA3D094" w14:textId="4F9E290B" w:rsidR="0089707F" w:rsidRDefault="0089707F" w:rsidP="0089707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89707F" w14:paraId="24E11719" w14:textId="77777777" w:rsidTr="00130BAD">
        <w:tc>
          <w:tcPr>
            <w:tcW w:w="388" w:type="pct"/>
          </w:tcPr>
          <w:p w14:paraId="14873022" w14:textId="3A9A1107" w:rsidR="0089707F" w:rsidRDefault="0089707F" w:rsidP="0089707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12" w:type="pct"/>
            <w:vAlign w:val="center"/>
          </w:tcPr>
          <w:p w14:paraId="214E44E5" w14:textId="69138542" w:rsidR="0089707F" w:rsidRDefault="0089707F" w:rsidP="0089707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vAlign w:val="center"/>
          </w:tcPr>
          <w:p w14:paraId="52B5D60A" w14:textId="5F0BC076" w:rsidR="0089707F" w:rsidRDefault="0089707F" w:rsidP="0089707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</w:tbl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A5DF684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Tovar sa kupujúci zaväzuje odobrať</w:t>
      </w:r>
      <w:r w:rsidR="004628FF">
        <w:rPr>
          <w:rFonts w:ascii="Arial" w:hAnsi="Arial" w:cs="Arial"/>
          <w:sz w:val="20"/>
          <w:lang w:val="sk-SK"/>
        </w:rPr>
        <w:t xml:space="preserve"> podľa potreby</w:t>
      </w:r>
      <w:r w:rsidRPr="00A57D71">
        <w:rPr>
          <w:rFonts w:ascii="Arial" w:hAnsi="Arial" w:cs="Arial"/>
          <w:sz w:val="20"/>
          <w:lang w:val="sk-SK"/>
        </w:rPr>
        <w:t xml:space="preserve"> najneskôr do </w:t>
      </w:r>
      <w:r w:rsidR="000A4956">
        <w:rPr>
          <w:rFonts w:ascii="Arial" w:hAnsi="Arial" w:cs="Arial"/>
          <w:sz w:val="20"/>
          <w:lang w:val="sk-SK"/>
        </w:rPr>
        <w:t>31.12</w:t>
      </w:r>
      <w:r w:rsidR="00392555">
        <w:rPr>
          <w:rFonts w:ascii="Arial" w:hAnsi="Arial" w:cs="Arial"/>
          <w:sz w:val="20"/>
          <w:lang w:val="sk-SK"/>
        </w:rPr>
        <w:t>.</w:t>
      </w:r>
      <w:r w:rsidR="004628FF">
        <w:rPr>
          <w:rFonts w:ascii="Arial" w:hAnsi="Arial" w:cs="Arial"/>
          <w:sz w:val="20"/>
          <w:lang w:val="sk-SK"/>
        </w:rPr>
        <w:t>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Default="00DB7947" w:rsidP="00DB7947">
      <w:pPr>
        <w:spacing w:after="0"/>
        <w:rPr>
          <w:rFonts w:cs="Arial"/>
          <w:b/>
          <w:szCs w:val="20"/>
        </w:rPr>
      </w:pPr>
    </w:p>
    <w:p w14:paraId="20130614" w14:textId="77777777" w:rsidR="008758E3" w:rsidRPr="00A57D71" w:rsidRDefault="008758E3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241C8284" w14:textId="77777777" w:rsidR="007D34E4" w:rsidRDefault="007D34E4" w:rsidP="007D34E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</w:p>
          <w:p w14:paraId="74FA4C45" w14:textId="74C7D8B8" w:rsidR="005337B7" w:rsidRPr="00A57D71" w:rsidRDefault="007D34E4" w:rsidP="007D34E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Tribeč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31D1F1B9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5E3308D1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66E6261F" w14:textId="77777777" w:rsidR="007D34E4" w:rsidRDefault="007D34E4" w:rsidP="005337B7">
      <w:pPr>
        <w:spacing w:after="0"/>
        <w:rPr>
          <w:rFonts w:eastAsia="Calibri" w:cs="Arial"/>
          <w:szCs w:val="20"/>
        </w:rPr>
      </w:pPr>
    </w:p>
    <w:p w14:paraId="26515831" w14:textId="77777777" w:rsidR="007D34E4" w:rsidRPr="00A57D71" w:rsidRDefault="007D34E4" w:rsidP="005337B7">
      <w:pPr>
        <w:spacing w:after="0"/>
        <w:rPr>
          <w:rFonts w:eastAsia="Calibri" w:cs="Arial"/>
          <w:szCs w:val="20"/>
        </w:rPr>
      </w:pPr>
    </w:p>
    <w:p w14:paraId="724E494B" w14:textId="0080FC58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8758E3">
        <w:rPr>
          <w:rFonts w:ascii="Arial" w:hAnsi="Arial" w:cs="Arial"/>
          <w:sz w:val="20"/>
          <w:szCs w:val="20"/>
        </w:rPr>
        <w:t>Návrh na plnenie kritérií hodnotenia.</w:t>
      </w:r>
    </w:p>
    <w:p w14:paraId="01B63772" w14:textId="7BC5C6BD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3A1A" w14:textId="77777777" w:rsidR="00F9781F" w:rsidRDefault="00F9781F">
      <w:r>
        <w:separator/>
      </w:r>
    </w:p>
  </w:endnote>
  <w:endnote w:type="continuationSeparator" w:id="0">
    <w:p w14:paraId="287C276F" w14:textId="77777777" w:rsidR="00F9781F" w:rsidRDefault="00F9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4EBE0C7B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2002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2002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F9781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5BC12" w14:textId="77777777" w:rsidR="00F9781F" w:rsidRDefault="00F9781F">
      <w:r>
        <w:separator/>
      </w:r>
    </w:p>
  </w:footnote>
  <w:footnote w:type="continuationSeparator" w:id="0">
    <w:p w14:paraId="2CCF26B7" w14:textId="77777777" w:rsidR="00F9781F" w:rsidRDefault="00F9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1="http://schemas.microsoft.com/office/drawing/2015/9/8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707F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2FAA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028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9781F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BAB8-F691-48C4-8CD5-59F61F88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Denisa Kúšiková</cp:lastModifiedBy>
  <cp:revision>7</cp:revision>
  <cp:lastPrinted>2020-04-27T07:19:00Z</cp:lastPrinted>
  <dcterms:created xsi:type="dcterms:W3CDTF">2022-03-03T09:31:00Z</dcterms:created>
  <dcterms:modified xsi:type="dcterms:W3CDTF">2022-09-08T10:44:00Z</dcterms:modified>
  <cp:category>EIZ</cp:category>
</cp:coreProperties>
</file>