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- vedúci organizačnej zložky 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F205F1" w:rsidRPr="00434206" w:rsidRDefault="00F205F1" w:rsidP="00F205F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EA1C7A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07489C">
        <w:rPr>
          <w:rFonts w:cs="Arial"/>
          <w:b/>
          <w:sz w:val="20"/>
          <w:szCs w:val="20"/>
        </w:rPr>
        <w:t>Poľana</w:t>
      </w:r>
      <w:r w:rsidRPr="00EA1C7A">
        <w:rPr>
          <w:rFonts w:cs="Arial"/>
          <w:b/>
          <w:sz w:val="20"/>
          <w:szCs w:val="20"/>
        </w:rPr>
        <w:t xml:space="preserve"> na obdobie 2023 - 2026</w:t>
      </w:r>
    </w:p>
    <w:p w:rsidR="0007489C" w:rsidRPr="004D239D" w:rsidRDefault="0007489C" w:rsidP="0007489C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07489C" w:rsidRPr="004D239D" w:rsidRDefault="0007489C" w:rsidP="0007489C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8"/>
        <w:gridCol w:w="3491"/>
        <w:gridCol w:w="1985"/>
        <w:gridCol w:w="1517"/>
        <w:gridCol w:w="1735"/>
      </w:tblGrid>
      <w:tr w:rsidR="0007489C" w:rsidRPr="004D239D" w:rsidTr="003B6F44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1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</w:t>
            </w:r>
            <w:r>
              <w:rPr>
                <w:rFonts w:cs="Arial"/>
                <w:noProof w:val="0"/>
                <w:sz w:val="20"/>
                <w:szCs w:val="20"/>
              </w:rPr>
              <w:t>2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</w:t>
            </w:r>
            <w:r>
              <w:rPr>
                <w:rFonts w:cs="Arial"/>
                <w:noProof w:val="0"/>
                <w:sz w:val="20"/>
                <w:szCs w:val="20"/>
              </w:rPr>
              <w:t>3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</w:t>
            </w:r>
            <w:r>
              <w:rPr>
                <w:rFonts w:cs="Arial"/>
                <w:noProof w:val="0"/>
                <w:sz w:val="20"/>
                <w:szCs w:val="20"/>
              </w:rPr>
              <w:t>4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</w:t>
            </w:r>
            <w:r>
              <w:rPr>
                <w:rFonts w:cs="Arial"/>
                <w:noProof w:val="0"/>
                <w:sz w:val="20"/>
                <w:szCs w:val="20"/>
              </w:rPr>
              <w:t>5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1C2DE0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2C0769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Divín - VC Ružiná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LS Divín - VC Havranová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Divín </w:t>
            </w:r>
            <w:r>
              <w:rPr>
                <w:rFonts w:cs="Arial"/>
                <w:noProof w:val="0"/>
                <w:sz w:val="20"/>
                <w:szCs w:val="20"/>
              </w:rPr>
              <w:t>- VC Podkriváň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Divín - VC Dolná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Bzová</w:t>
            </w:r>
            <w:proofErr w:type="spellEnd"/>
            <w:r>
              <w:rPr>
                <w:rFonts w:cs="Arial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lastRenderedPageBreak/>
              <w:t>časť č.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Divín - VC Martinová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Divín - VC Tuhár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Divín - VC Bradlo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Divín - VC </w:t>
            </w:r>
            <w:proofErr w:type="spellStart"/>
            <w:r w:rsidRPr="002C0769">
              <w:rPr>
                <w:rFonts w:cs="Arial"/>
                <w:noProof w:val="0"/>
                <w:sz w:val="20"/>
                <w:szCs w:val="20"/>
              </w:rPr>
              <w:t>Hrebenec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Divín - VC Praha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Divín - VC Riečky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Vígľaš - VC Boky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17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Lohyňa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18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Periná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19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 w:rsidRPr="002C0769">
              <w:rPr>
                <w:rFonts w:cs="Arial"/>
                <w:noProof w:val="0"/>
                <w:sz w:val="20"/>
                <w:szCs w:val="20"/>
              </w:rPr>
              <w:t>Siroň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20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 w:rsidRPr="002C0769">
              <w:rPr>
                <w:rFonts w:cs="Arial"/>
                <w:noProof w:val="0"/>
                <w:sz w:val="20"/>
                <w:szCs w:val="20"/>
              </w:rPr>
              <w:t>Kalamárka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Vígľaš - VC Trnavy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Vígľaš - VC Očová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Bátová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Bútľavka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Vígľaš - VC Dudáš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Chochuľka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27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Vígľaš - VC Majerová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28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Poltár - VC Málinec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29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Poltár - VC Stojná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30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Poltár - VC Selce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Poltár - VC Látky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Poltár - VC Hrnčiarky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Poľana - VC Kľuka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Poľana - VC Kľuka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Poľana - VC Pálenica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Poľana - VC Mikulášska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37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77627F">
              <w:rPr>
                <w:rFonts w:cs="Arial"/>
                <w:noProof w:val="0"/>
                <w:sz w:val="20"/>
                <w:szCs w:val="20"/>
              </w:rPr>
              <w:t>LS Poľana - VC Biele Vody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38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77627F">
              <w:rPr>
                <w:rFonts w:cs="Arial"/>
                <w:noProof w:val="0"/>
                <w:sz w:val="20"/>
                <w:szCs w:val="20"/>
              </w:rPr>
              <w:t>LS Staré Hory - VC Staré Hory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39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77627F">
              <w:rPr>
                <w:rFonts w:cs="Arial"/>
                <w:noProof w:val="0"/>
                <w:sz w:val="20"/>
                <w:szCs w:val="20"/>
              </w:rPr>
              <w:t>LS Staré Hory - VC Banská Bystrica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40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77627F">
              <w:rPr>
                <w:rFonts w:cs="Arial"/>
                <w:noProof w:val="0"/>
                <w:sz w:val="20"/>
                <w:szCs w:val="20"/>
              </w:rPr>
              <w:t xml:space="preserve">LS Brusno - VC </w:t>
            </w:r>
            <w:proofErr w:type="spellStart"/>
            <w:r w:rsidRPr="0077627F">
              <w:rPr>
                <w:rFonts w:cs="Arial"/>
                <w:noProof w:val="0"/>
                <w:sz w:val="20"/>
                <w:szCs w:val="20"/>
              </w:rPr>
              <w:t>Sopotnica</w:t>
            </w:r>
            <w:proofErr w:type="spellEnd"/>
            <w:r w:rsidRPr="0077627F">
              <w:rPr>
                <w:rFonts w:cs="Arial"/>
                <w:noProof w:val="0"/>
                <w:sz w:val="20"/>
                <w:szCs w:val="20"/>
              </w:rPr>
              <w:t xml:space="preserve">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77627F">
              <w:rPr>
                <w:rFonts w:cs="Arial"/>
                <w:noProof w:val="0"/>
                <w:sz w:val="20"/>
                <w:szCs w:val="20"/>
              </w:rPr>
              <w:t xml:space="preserve">LS Brusno - VC Rudohorie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7489C" w:rsidRPr="004D239D" w:rsidTr="003B6F4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D85BC1" w:rsidRDefault="0007489C" w:rsidP="003B6F44">
            <w:pPr>
              <w:rPr>
                <w:rFonts w:cs="Arial"/>
                <w:noProof w:val="0"/>
                <w:sz w:val="20"/>
                <w:szCs w:val="20"/>
              </w:rPr>
            </w:pPr>
            <w:r w:rsidRPr="0077627F">
              <w:rPr>
                <w:rFonts w:cs="Arial"/>
                <w:noProof w:val="0"/>
                <w:sz w:val="20"/>
                <w:szCs w:val="20"/>
              </w:rPr>
              <w:t>LS Brusno - VC Slovenská Ľupča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07489C" w:rsidRPr="004D239D" w:rsidRDefault="0007489C" w:rsidP="0007489C">
      <w:pPr>
        <w:jc w:val="both"/>
        <w:rPr>
          <w:rFonts w:cs="Arial"/>
          <w:noProof w:val="0"/>
          <w:sz w:val="20"/>
          <w:szCs w:val="20"/>
        </w:rPr>
      </w:pP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7489C" w:rsidRPr="004D239D" w:rsidTr="003B6F44">
        <w:tc>
          <w:tcPr>
            <w:tcW w:w="2500" w:type="pct"/>
          </w:tcPr>
          <w:p w:rsidR="0007489C" w:rsidRPr="004D239D" w:rsidRDefault="0007489C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  <w:bookmarkStart w:id="3" w:name="_GoBack"/>
      <w:bookmarkEnd w:id="3"/>
    </w:p>
    <w:sectPr w:rsidR="00F205F1" w:rsidRPr="004D239D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AF" w:rsidRDefault="009C01AF" w:rsidP="00F205F1">
      <w:r>
        <w:separator/>
      </w:r>
    </w:p>
  </w:endnote>
  <w:endnote w:type="continuationSeparator" w:id="0">
    <w:p w:rsidR="009C01AF" w:rsidRDefault="009C01AF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AF" w:rsidRDefault="009C01AF" w:rsidP="00F205F1">
      <w:r>
        <w:separator/>
      </w:r>
    </w:p>
  </w:footnote>
  <w:footnote w:type="continuationSeparator" w:id="0">
    <w:p w:rsidR="009C01AF" w:rsidRDefault="009C01AF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F4C24"/>
    <w:rsid w:val="003248AE"/>
    <w:rsid w:val="00410C8A"/>
    <w:rsid w:val="00410F36"/>
    <w:rsid w:val="00525C82"/>
    <w:rsid w:val="006639AA"/>
    <w:rsid w:val="007B5CB9"/>
    <w:rsid w:val="007C4B21"/>
    <w:rsid w:val="009C01AF"/>
    <w:rsid w:val="009D145C"/>
    <w:rsid w:val="00D47E7F"/>
    <w:rsid w:val="00D85BC1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480C5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2022-09-05T20:48:00Z</dcterms:created>
  <dcterms:modified xsi:type="dcterms:W3CDTF">2022-09-05T20:48:00Z</dcterms:modified>
</cp:coreProperties>
</file>