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 xml:space="preserve">Ing. Martin Kovalčík - </w:t>
            </w:r>
            <w:r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>Lesnícke služby v ťažbovom procese na organizačnej zložke OZ Horehronie na obdobie 2023 - 2026</w:t>
      </w:r>
      <w:r w:rsidRPr="00BD5B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2E5A67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2E5A67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</w:t>
      </w:r>
      <w:bookmarkStart w:id="3" w:name="_GoBack"/>
      <w:r w:rsidR="006039C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</w:t>
      </w:r>
      <w:bookmarkEnd w:id="3"/>
      <w:r w:rsidRPr="004D239D">
        <w:rPr>
          <w:rFonts w:cs="Arial"/>
          <w:noProof w:val="0"/>
          <w:sz w:val="20"/>
          <w:szCs w:val="20"/>
        </w:rPr>
        <w:t xml:space="preserve">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BD5B9F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Ing. Martin Kovalčík 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>Lesnícke služby v ťažbovom procese na organizačnej zložke OZ Horehronie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67" w:rsidRDefault="002E5A67" w:rsidP="00F205F1">
      <w:r>
        <w:separator/>
      </w:r>
    </w:p>
  </w:endnote>
  <w:endnote w:type="continuationSeparator" w:id="0">
    <w:p w:rsidR="002E5A67" w:rsidRDefault="002E5A67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67" w:rsidRDefault="002E5A67" w:rsidP="00F205F1">
      <w:r>
        <w:separator/>
      </w:r>
    </w:p>
  </w:footnote>
  <w:footnote w:type="continuationSeparator" w:id="0">
    <w:p w:rsidR="002E5A67" w:rsidRDefault="002E5A67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53E71"/>
    <w:rsid w:val="002E5A67"/>
    <w:rsid w:val="003248AE"/>
    <w:rsid w:val="0048327C"/>
    <w:rsid w:val="006039CB"/>
    <w:rsid w:val="006639AA"/>
    <w:rsid w:val="006A7680"/>
    <w:rsid w:val="007B5CB9"/>
    <w:rsid w:val="00937A2C"/>
    <w:rsid w:val="009D145C"/>
    <w:rsid w:val="00B558C4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3D3A7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2022-09-05T20:46:00Z</dcterms:created>
  <dcterms:modified xsi:type="dcterms:W3CDTF">2022-09-06T07:40:00Z</dcterms:modified>
</cp:coreProperties>
</file>