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4A6037">
        <w:rPr>
          <w:rFonts w:asciiTheme="minorHAnsi" w:hAnsiTheme="minorHAnsi"/>
          <w:b/>
          <w:snapToGrid w:val="0"/>
        </w:rPr>
        <w:t>„</w:t>
      </w:r>
      <w:r w:rsidR="009230F1">
        <w:rPr>
          <w:rFonts w:asciiTheme="minorHAnsi" w:hAnsiTheme="minorHAnsi"/>
          <w:b/>
        </w:rPr>
        <w:t>Zvislé dopravné značenie</w:t>
      </w:r>
      <w:bookmarkStart w:id="0" w:name="_GoBack"/>
      <w:bookmarkEnd w:id="0"/>
      <w:r w:rsidRPr="004A6037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>Rámcovej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30F1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D3B085-86CB-42C9-82B7-B2B0EAF7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2019-04-04T11:36:00Z</dcterms:created>
  <dcterms:modified xsi:type="dcterms:W3CDTF">2019-04-04T11:36:00Z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