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72FF7764" w14:textId="5A21C395" w:rsidR="001F2432" w:rsidRPr="008E5A96" w:rsidRDefault="00B77FF8" w:rsidP="007E7042">
      <w:pPr>
        <w:ind w:left="4106" w:firstLine="142"/>
        <w:rPr>
          <w:rFonts w:ascii="Corbel" w:eastAsia="Times New Roman" w:hAnsi="Corbel"/>
          <w:lang w:eastAsia="sk-SK"/>
        </w:rPr>
      </w:pPr>
      <w:r w:rsidRPr="008E5A96">
        <w:rPr>
          <w:rFonts w:ascii="Corbel" w:eastAsia="Times New Roman" w:hAnsi="Corbel"/>
          <w:lang w:eastAsia="sk-SK"/>
        </w:rPr>
        <w:t>doc. RNDr. Zuzana Danková, PhD.</w:t>
      </w:r>
    </w:p>
    <w:p w14:paraId="39B8DBD9" w14:textId="399D0C7F" w:rsidR="004408D6" w:rsidRPr="008E5A96" w:rsidRDefault="00D558FC" w:rsidP="003035EC">
      <w:pPr>
        <w:ind w:left="709"/>
        <w:rPr>
          <w:rFonts w:ascii="Corbel" w:eastAsia="Times New Roman" w:hAnsi="Corbel"/>
          <w:lang w:eastAsia="sk-SK"/>
        </w:rPr>
      </w:pPr>
      <w:r w:rsidRPr="008E5A96">
        <w:rPr>
          <w:rFonts w:ascii="Corbel" w:hAnsi="Corbel"/>
        </w:rPr>
        <w:t xml:space="preserve">tel.: </w:t>
      </w:r>
      <w:r w:rsidRPr="008E5A96">
        <w:rPr>
          <w:rFonts w:ascii="Corbel" w:hAnsi="Corbel"/>
        </w:rPr>
        <w:tab/>
      </w:r>
      <w:r w:rsidRPr="008E5A96">
        <w:rPr>
          <w:rFonts w:ascii="Corbel" w:hAnsi="Corbel"/>
        </w:rPr>
        <w:tab/>
      </w:r>
      <w:r w:rsidRPr="008E5A96">
        <w:rPr>
          <w:rFonts w:ascii="Corbel" w:hAnsi="Corbel"/>
        </w:rPr>
        <w:tab/>
      </w:r>
      <w:r w:rsidRPr="008E5A96">
        <w:rPr>
          <w:rFonts w:ascii="Corbel" w:hAnsi="Corbel"/>
        </w:rPr>
        <w:tab/>
        <w:t xml:space="preserve"> </w:t>
      </w:r>
      <w:r w:rsidRPr="008E5A96">
        <w:rPr>
          <w:rFonts w:ascii="Corbel" w:hAnsi="Corbel"/>
        </w:rPr>
        <w:tab/>
      </w:r>
      <w:r w:rsidR="00E82B85" w:rsidRPr="008E5A96">
        <w:rPr>
          <w:rFonts w:ascii="Corbel" w:eastAsia="Times New Roman" w:hAnsi="Corbel"/>
          <w:lang w:eastAsia="sk-SK"/>
        </w:rPr>
        <w:t xml:space="preserve">+421 43 </w:t>
      </w:r>
      <w:r w:rsidR="00092B42" w:rsidRPr="008E5A96">
        <w:rPr>
          <w:rFonts w:ascii="Corbel" w:eastAsia="Times New Roman" w:hAnsi="Corbel"/>
          <w:lang w:eastAsia="sk-SK"/>
        </w:rPr>
        <w:t>26</w:t>
      </w:r>
      <w:r w:rsidR="00B77FF8" w:rsidRPr="008E5A96">
        <w:rPr>
          <w:rFonts w:ascii="Corbel" w:eastAsia="Times New Roman" w:hAnsi="Corbel"/>
          <w:lang w:eastAsia="sk-SK"/>
        </w:rPr>
        <w:t>33 824</w:t>
      </w:r>
    </w:p>
    <w:p w14:paraId="6F2FD81A" w14:textId="03D6E762" w:rsidR="00D558FC" w:rsidRPr="008E5A96" w:rsidRDefault="00D558FC" w:rsidP="0023506B">
      <w:pPr>
        <w:pStyle w:val="tl"/>
        <w:ind w:left="709" w:right="6" w:hanging="1"/>
        <w:jc w:val="both"/>
        <w:rPr>
          <w:rFonts w:ascii="Corbel" w:hAnsi="Corbel"/>
          <w:sz w:val="22"/>
          <w:szCs w:val="22"/>
        </w:rPr>
      </w:pPr>
    </w:p>
    <w:p w14:paraId="66562967" w14:textId="17C4F533" w:rsidR="00D04A94" w:rsidRPr="00954E29" w:rsidRDefault="00D558FC" w:rsidP="00D70DC2">
      <w:pPr>
        <w:adjustRightInd w:val="0"/>
        <w:ind w:left="4248" w:hanging="3544"/>
        <w:rPr>
          <w:rStyle w:val="Hypertextovprepojenie"/>
          <w:sz w:val="20"/>
          <w:szCs w:val="20"/>
        </w:rPr>
      </w:pPr>
      <w:r w:rsidRPr="008E5A96">
        <w:rPr>
          <w:rFonts w:ascii="Corbel" w:hAnsi="Corbel"/>
        </w:rPr>
        <w:t>e-mail:</w:t>
      </w:r>
      <w:r w:rsidRPr="008E5A96">
        <w:rPr>
          <w:rFonts w:ascii="Corbel" w:hAnsi="Corbel"/>
        </w:rPr>
        <w:tab/>
      </w:r>
      <w:hyperlink r:id="rId11" w:history="1">
        <w:r w:rsidR="00B77FF8" w:rsidRPr="008E5A96">
          <w:rPr>
            <w:rStyle w:val="Hypertextovprepojenie"/>
            <w:rFonts w:ascii="Corbel" w:hAnsi="Corbel"/>
          </w:rPr>
          <w:t>zuzana.dankova@uniba.sk</w:t>
        </w:r>
      </w:hyperlink>
    </w:p>
    <w:p w14:paraId="127F5140" w14:textId="77777777" w:rsidR="00D04A94" w:rsidRPr="008E5A96" w:rsidRDefault="00D04A94" w:rsidP="00D04A94">
      <w:pPr>
        <w:adjustRightInd w:val="0"/>
        <w:ind w:left="4248" w:hanging="3544"/>
        <w:rPr>
          <w:rFonts w:ascii="Corbel" w:hAnsi="Corbel"/>
        </w:rPr>
      </w:pPr>
      <w:r w:rsidRPr="00954E29">
        <w:rPr>
          <w:rFonts w:ascii="Corbel" w:hAnsi="Corbel"/>
        </w:rPr>
        <w:t xml:space="preserve">Bankové spojenie: </w:t>
      </w:r>
      <w:r w:rsidRPr="00954E29">
        <w:rPr>
          <w:rFonts w:ascii="Corbel" w:hAnsi="Corbel"/>
        </w:rPr>
        <w:tab/>
      </w:r>
      <w:r w:rsidRPr="008E5A96">
        <w:rPr>
          <w:rFonts w:ascii="Corbel" w:hAnsi="Corbel"/>
        </w:rPr>
        <w:t>Štátna pokladnica</w:t>
      </w:r>
    </w:p>
    <w:p w14:paraId="0BE80A09" w14:textId="7000016B" w:rsidR="00A32197" w:rsidRPr="004C56F9" w:rsidRDefault="00D04A94" w:rsidP="005D2E8A">
      <w:pPr>
        <w:adjustRightInd w:val="0"/>
        <w:ind w:left="4248" w:hanging="3544"/>
        <w:rPr>
          <w:rFonts w:ascii="Corbel" w:hAnsi="Corbel" w:cs="Times New Roman"/>
        </w:rPr>
      </w:pPr>
      <w:r w:rsidRPr="008E5A96">
        <w:rPr>
          <w:rFonts w:ascii="Corbel" w:hAnsi="Corbel"/>
        </w:rPr>
        <w:t>IBAN:</w:t>
      </w:r>
      <w:r w:rsidRPr="008E5A96">
        <w:rPr>
          <w:rFonts w:ascii="Corbel" w:hAnsi="Corbel"/>
        </w:rPr>
        <w:tab/>
      </w:r>
      <w:r w:rsidR="009A454E" w:rsidRPr="008E5A96">
        <w:rPr>
          <w:rFonts w:ascii="Corbel" w:hAnsi="Corbel"/>
        </w:rPr>
        <w:t>SK56 8180 0000 0070 0061 7889</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631C5BCA"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F5438A" w:rsidRPr="00F5438A">
        <w:rPr>
          <w:rFonts w:ascii="Corbel" w:hAnsi="Corbel"/>
          <w:b/>
          <w:bCs/>
          <w:sz w:val="22"/>
          <w:szCs w:val="22"/>
        </w:rPr>
        <w:t>Chemikálie a spotrebný materiál pre projekt CovLab 4“ -53</w:t>
      </w:r>
      <w:r w:rsidR="00511EE8">
        <w:rPr>
          <w:rFonts w:ascii="Corbel" w:hAnsi="Corbel"/>
          <w:b/>
          <w:bCs/>
          <w:sz w:val="22"/>
          <w:szCs w:val="22"/>
        </w:rPr>
        <w:t xml:space="preserve"> </w:t>
      </w:r>
      <w:r w:rsidR="00F61F50" w:rsidRPr="00D04A94">
        <w:rPr>
          <w:rFonts w:ascii="Corbel" w:hAnsi="Corbel"/>
          <w:b/>
          <w:bCs/>
          <w:sz w:val="22"/>
          <w:szCs w:val="22"/>
        </w:rPr>
        <w:t xml:space="preserve">(časť </w:t>
      </w:r>
      <w:r w:rsidR="00E545C1">
        <w:rPr>
          <w:rFonts w:ascii="Corbel" w:hAnsi="Corbel"/>
          <w:b/>
          <w:bCs/>
          <w:sz w:val="22"/>
          <w:szCs w:val="22"/>
        </w:rPr>
        <w:t xml:space="preserve">X-  </w:t>
      </w:r>
      <w:bookmarkStart w:id="1" w:name="_Hlk114834276"/>
      <w:r w:rsidR="00E545C1">
        <w:rPr>
          <w:rFonts w:ascii="Corbel" w:hAnsi="Corbel"/>
          <w:b/>
          <w:bCs/>
          <w:sz w:val="22"/>
          <w:szCs w:val="22"/>
        </w:rPr>
        <w:t>bude doplnené  ku konkrétnej časti, pre ktorú sa zmluva uzatvára</w:t>
      </w:r>
      <w:bookmarkEnd w:id="1"/>
      <w:r w:rsidR="00F61F50" w:rsidRPr="00D04A94">
        <w:rPr>
          <w:rFonts w:ascii="Corbel" w:hAnsi="Corbel"/>
          <w:b/>
          <w:bCs/>
          <w:sz w:val="22"/>
          <w:szCs w:val="22"/>
        </w:rPr>
        <w:t>)</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2"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5DE86C7" w14:textId="77777777" w:rsidR="00D04A94" w:rsidRPr="0052617C" w:rsidRDefault="00D04A94" w:rsidP="005D2E8A">
      <w:pPr>
        <w:pStyle w:val="Odsekzoznamu"/>
        <w:ind w:left="284"/>
        <w:rPr>
          <w:rFonts w:ascii="Corbel" w:hAnsi="Corbel"/>
        </w:rPr>
      </w:pPr>
      <w:bookmarkStart w:id="3" w:name="_Hlk86064123"/>
      <w:r w:rsidRPr="0052617C">
        <w:rPr>
          <w:rFonts w:ascii="Corbel" w:hAnsi="Corbel"/>
        </w:rPr>
        <w:t xml:space="preserve">Univerzita Komenského v Bratislave </w:t>
      </w:r>
    </w:p>
    <w:p w14:paraId="74E564FE" w14:textId="77777777" w:rsidR="00D04A94" w:rsidRPr="0052617C" w:rsidRDefault="00D04A94" w:rsidP="005D2E8A">
      <w:pPr>
        <w:pStyle w:val="Odsekzoznamu"/>
        <w:ind w:left="284"/>
        <w:rPr>
          <w:rFonts w:ascii="Corbel" w:hAnsi="Corbel"/>
        </w:rPr>
      </w:pPr>
      <w:r w:rsidRPr="0052617C">
        <w:rPr>
          <w:rFonts w:ascii="Corbel" w:hAnsi="Corbel"/>
        </w:rPr>
        <w:t xml:space="preserve">Jesseniova lekárska fakulta v Martine  </w:t>
      </w:r>
    </w:p>
    <w:p w14:paraId="3A275482" w14:textId="77777777" w:rsidR="00884236" w:rsidRPr="0052617C" w:rsidRDefault="00884236" w:rsidP="007F56A3">
      <w:pPr>
        <w:pStyle w:val="Default"/>
        <w:ind w:firstLine="284"/>
        <w:jc w:val="both"/>
        <w:rPr>
          <w:rFonts w:ascii="Corbel" w:hAnsi="Corbel"/>
          <w:sz w:val="22"/>
          <w:szCs w:val="22"/>
        </w:rPr>
      </w:pPr>
    </w:p>
    <w:bookmarkEnd w:id="3"/>
    <w:p w14:paraId="758A42DA"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BioMed Martin</w:t>
      </w:r>
    </w:p>
    <w:p w14:paraId="543394B0"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Malá Hora 4D</w:t>
      </w:r>
    </w:p>
    <w:p w14:paraId="59DC0891"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77777777"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36591D" w:rsidRPr="0036591D">
        <w:t xml:space="preserve"> </w:t>
      </w:r>
      <w:r w:rsidR="0036591D">
        <w:t>(</w:t>
      </w:r>
      <w:r w:rsidR="0036591D" w:rsidRPr="0036591D">
        <w:rPr>
          <w:rFonts w:ascii="Corbel" w:hAnsi="Corbel"/>
          <w:b/>
          <w:bCs/>
          <w:i/>
          <w:iCs/>
          <w:sz w:val="22"/>
          <w:szCs w:val="22"/>
        </w:rPr>
        <w:t>bude doplnené  ku konkrétnej časti, pre ktorú sa zmluva uzatvára</w:t>
      </w:r>
      <w:r w:rsidR="000528E4">
        <w:rPr>
          <w:rFonts w:ascii="Corbel" w:hAnsi="Corbel"/>
          <w:b/>
          <w:bCs/>
          <w:i/>
          <w:iCs/>
          <w:sz w:val="22"/>
          <w:szCs w:val="22"/>
        </w:rPr>
        <w:t>)</w:t>
      </w:r>
      <w:r w:rsidRPr="001313FE">
        <w:rPr>
          <w:rFonts w:ascii="Corbel" w:hAnsi="Corbel"/>
          <w:b/>
          <w:bCs/>
          <w:sz w:val="22"/>
          <w:szCs w:val="22"/>
        </w:rPr>
        <w:t>.</w:t>
      </w:r>
    </w:p>
    <w:p w14:paraId="53EAE6F2" w14:textId="77777777" w:rsidR="004F2F7F" w:rsidRPr="004F2F7F" w:rsidRDefault="004F2F7F" w:rsidP="004F2F7F">
      <w:pPr>
        <w:ind w:firstLine="284"/>
        <w:jc w:val="both"/>
        <w:rPr>
          <w:rFonts w:ascii="Corbel" w:hAnsi="Corbel" w:cs="Times New Roman"/>
          <w:i/>
          <w:iCs/>
          <w:color w:val="000000"/>
        </w:rPr>
      </w:pPr>
      <w:r w:rsidRPr="004F2F7F">
        <w:rPr>
          <w:rFonts w:ascii="Corbel" w:hAnsi="Corbel" w:cs="Times New Roman"/>
          <w:i/>
          <w:iCs/>
          <w:color w:val="000000"/>
        </w:rPr>
        <w:t xml:space="preserve">Pre časť 1:  do 10 týždňov od nadobudnutia účinnosti zmluvy. </w:t>
      </w:r>
    </w:p>
    <w:p w14:paraId="75AABAE3" w14:textId="77777777" w:rsidR="004F2F7F" w:rsidRPr="004F2F7F" w:rsidRDefault="004F2F7F" w:rsidP="004F2F7F">
      <w:pPr>
        <w:ind w:firstLine="284"/>
        <w:jc w:val="both"/>
        <w:rPr>
          <w:rFonts w:ascii="Corbel" w:hAnsi="Corbel" w:cs="Times New Roman"/>
          <w:i/>
          <w:iCs/>
          <w:color w:val="000000"/>
        </w:rPr>
      </w:pPr>
      <w:r w:rsidRPr="004F2F7F">
        <w:rPr>
          <w:rFonts w:ascii="Corbel" w:hAnsi="Corbel" w:cs="Times New Roman"/>
          <w:i/>
          <w:iCs/>
          <w:color w:val="000000"/>
        </w:rPr>
        <w:t xml:space="preserve">Pre časť 2:  do 6 týždňov od nadobudnutia účinnosti zmluvy. </w:t>
      </w:r>
    </w:p>
    <w:p w14:paraId="31D082AA" w14:textId="77777777" w:rsidR="004F2F7F" w:rsidRPr="004F2F7F" w:rsidRDefault="004F2F7F" w:rsidP="004F2F7F">
      <w:pPr>
        <w:ind w:firstLine="284"/>
        <w:jc w:val="both"/>
        <w:rPr>
          <w:rFonts w:ascii="Corbel" w:hAnsi="Corbel" w:cs="Times New Roman"/>
          <w:i/>
          <w:iCs/>
          <w:color w:val="000000"/>
        </w:rPr>
      </w:pPr>
      <w:r w:rsidRPr="004F2F7F">
        <w:rPr>
          <w:rFonts w:ascii="Corbel" w:hAnsi="Corbel" w:cs="Times New Roman"/>
          <w:i/>
          <w:iCs/>
          <w:color w:val="000000"/>
        </w:rPr>
        <w:t xml:space="preserve">Pre časť 3:  do 12 týždňov od nadobudnutia účinnosti zmluvy. </w:t>
      </w:r>
    </w:p>
    <w:p w14:paraId="27317253" w14:textId="77777777" w:rsidR="004F2F7F" w:rsidRPr="004F2F7F" w:rsidRDefault="004F2F7F" w:rsidP="004F2F7F">
      <w:pPr>
        <w:ind w:firstLine="284"/>
        <w:jc w:val="both"/>
        <w:rPr>
          <w:rFonts w:ascii="Corbel" w:hAnsi="Corbel" w:cs="Times New Roman"/>
          <w:i/>
          <w:iCs/>
          <w:color w:val="000000"/>
        </w:rPr>
      </w:pPr>
      <w:r w:rsidRPr="004F2F7F">
        <w:rPr>
          <w:rFonts w:ascii="Corbel" w:hAnsi="Corbel" w:cs="Times New Roman"/>
          <w:i/>
          <w:iCs/>
          <w:color w:val="000000"/>
        </w:rPr>
        <w:t xml:space="preserve">Pre časť 4:  do 12 týždňov od nadobudnutia účinnosti zmluvy. </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DF154A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D04A94">
        <w:rPr>
          <w:rFonts w:ascii="Corbel" w:hAnsi="Corbel"/>
          <w:sz w:val="22"/>
          <w:szCs w:val="22"/>
        </w:rPr>
        <w:t>60</w:t>
      </w:r>
      <w:r w:rsidR="00D04A94"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D04A94">
        <w:rPr>
          <w:rFonts w:ascii="Corbel" w:hAnsi="Corbel"/>
          <w:sz w:val="22"/>
          <w:szCs w:val="22"/>
        </w:rPr>
        <w:t>60</w:t>
      </w:r>
      <w:r w:rsidR="00D04A94"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8E5A96">
        <w:rPr>
          <w:rFonts w:ascii="Corbel" w:hAnsi="Corbel"/>
          <w:color w:val="auto"/>
          <w:sz w:val="22"/>
          <w:szCs w:val="22"/>
        </w:rPr>
        <w:t xml:space="preserve">Záručná doba </w:t>
      </w:r>
      <w:r w:rsidR="0046167E" w:rsidRPr="008E5A96">
        <w:rPr>
          <w:rFonts w:ascii="Corbel" w:hAnsi="Corbel"/>
          <w:color w:val="auto"/>
          <w:sz w:val="22"/>
          <w:szCs w:val="22"/>
        </w:rPr>
        <w:t xml:space="preserve">12 mesiacov </w:t>
      </w:r>
      <w:r w:rsidRPr="008E5A96">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lastRenderedPageBreak/>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7FA661A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„Zmluvn</w:t>
      </w:r>
      <w:r w:rsidR="00BA4329">
        <w:rPr>
          <w:rFonts w:ascii="Corbel" w:hAnsi="Corbel"/>
        </w:rPr>
        <w:t>é</w:t>
      </w:r>
      <w:r w:rsidRPr="00114A3A">
        <w:rPr>
          <w:rFonts w:ascii="Corbel" w:hAnsi="Corbel"/>
        </w:rPr>
        <w:t xml:space="preserve"> stran</w:t>
      </w:r>
      <w:r w:rsidR="00BA4329">
        <w:rPr>
          <w:rFonts w:ascii="Corbel" w:hAnsi="Corbel"/>
        </w:rPr>
        <w:t>y</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plne oboznámen</w:t>
      </w:r>
      <w:r w:rsidR="00BA4329">
        <w:rPr>
          <w:rFonts w:ascii="Corbel" w:hAnsi="Corbel"/>
        </w:rPr>
        <w:t>é</w:t>
      </w:r>
      <w:r w:rsidRPr="00114A3A">
        <w:rPr>
          <w:rFonts w:ascii="Corbel" w:hAnsi="Corbel"/>
        </w:rPr>
        <w:t xml:space="preserve"> 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w:t>
      </w:r>
      <w:r w:rsidRPr="001313FE">
        <w:rPr>
          <w:rFonts w:ascii="Corbel" w:hAnsi="Corbel"/>
          <w:sz w:val="22"/>
          <w:szCs w:val="22"/>
        </w:rPr>
        <w:lastRenderedPageBreak/>
        <w:t xml:space="preserve">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69371401"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A45B25">
        <w:rPr>
          <w:rFonts w:ascii="Corbel" w:hAnsi="Corbel"/>
          <w:color w:val="000000"/>
        </w:rPr>
        <w:t>(časť X – bude doplnené ku konkrétnej časti, pre ktorú sa zmluva uzatvára)</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BBC4" w14:textId="77777777" w:rsidR="0007123F" w:rsidRDefault="0007123F" w:rsidP="00070B57">
      <w:r>
        <w:separator/>
      </w:r>
    </w:p>
  </w:endnote>
  <w:endnote w:type="continuationSeparator" w:id="0">
    <w:p w14:paraId="3BEB4920" w14:textId="77777777" w:rsidR="0007123F" w:rsidRDefault="0007123F"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B88F" w14:textId="77777777" w:rsidR="0007123F" w:rsidRDefault="0007123F" w:rsidP="00070B57">
      <w:r>
        <w:separator/>
      </w:r>
    </w:p>
  </w:footnote>
  <w:footnote w:type="continuationSeparator" w:id="0">
    <w:p w14:paraId="2B482205" w14:textId="77777777" w:rsidR="0007123F" w:rsidRDefault="0007123F"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7236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784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420602">
    <w:abstractNumId w:val="3"/>
  </w:num>
  <w:num w:numId="4" w16cid:durableId="1604995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88726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426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1665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637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6152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084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4958294">
    <w:abstractNumId w:val="15"/>
  </w:num>
  <w:num w:numId="12" w16cid:durableId="560750997">
    <w:abstractNumId w:val="11"/>
  </w:num>
  <w:num w:numId="13" w16cid:durableId="428892711">
    <w:abstractNumId w:val="24"/>
  </w:num>
  <w:num w:numId="14" w16cid:durableId="391738664">
    <w:abstractNumId w:val="2"/>
  </w:num>
  <w:num w:numId="15" w16cid:durableId="651374995">
    <w:abstractNumId w:val="22"/>
  </w:num>
  <w:num w:numId="16" w16cid:durableId="867908967">
    <w:abstractNumId w:val="26"/>
  </w:num>
  <w:num w:numId="17" w16cid:durableId="488903872">
    <w:abstractNumId w:val="13"/>
  </w:num>
  <w:num w:numId="18" w16cid:durableId="1083718165">
    <w:abstractNumId w:val="0"/>
  </w:num>
  <w:num w:numId="19" w16cid:durableId="3637493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472551">
    <w:abstractNumId w:val="6"/>
  </w:num>
  <w:num w:numId="21" w16cid:durableId="1266576179">
    <w:abstractNumId w:val="4"/>
  </w:num>
  <w:num w:numId="22" w16cid:durableId="1921669758">
    <w:abstractNumId w:val="30"/>
  </w:num>
  <w:num w:numId="23" w16cid:durableId="1553465477">
    <w:abstractNumId w:val="27"/>
  </w:num>
  <w:num w:numId="24" w16cid:durableId="435096863">
    <w:abstractNumId w:val="12"/>
  </w:num>
  <w:num w:numId="25" w16cid:durableId="756437027">
    <w:abstractNumId w:val="7"/>
  </w:num>
  <w:num w:numId="26" w16cid:durableId="149447620">
    <w:abstractNumId w:val="29"/>
  </w:num>
  <w:num w:numId="27" w16cid:durableId="106430596">
    <w:abstractNumId w:val="20"/>
  </w:num>
  <w:num w:numId="28" w16cid:durableId="1782604898">
    <w:abstractNumId w:val="17"/>
  </w:num>
  <w:num w:numId="29" w16cid:durableId="1340810739">
    <w:abstractNumId w:val="19"/>
  </w:num>
  <w:num w:numId="30" w16cid:durableId="2039087682">
    <w:abstractNumId w:val="23"/>
  </w:num>
  <w:num w:numId="31" w16cid:durableId="2013095969">
    <w:abstractNumId w:val="31"/>
  </w:num>
  <w:num w:numId="32" w16cid:durableId="607741982">
    <w:abstractNumId w:val="8"/>
  </w:num>
  <w:num w:numId="33" w16cid:durableId="2057973124">
    <w:abstractNumId w:val="1"/>
  </w:num>
  <w:num w:numId="34" w16cid:durableId="21513306">
    <w:abstractNumId w:val="5"/>
  </w:num>
  <w:num w:numId="35" w16cid:durableId="1393237725">
    <w:abstractNumId w:val="16"/>
  </w:num>
  <w:num w:numId="36" w16cid:durableId="4456623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5646"/>
    <w:rsid w:val="000071E7"/>
    <w:rsid w:val="00011709"/>
    <w:rsid w:val="00036002"/>
    <w:rsid w:val="000528E4"/>
    <w:rsid w:val="00052B2B"/>
    <w:rsid w:val="00052B43"/>
    <w:rsid w:val="000609A0"/>
    <w:rsid w:val="00062442"/>
    <w:rsid w:val="00065D39"/>
    <w:rsid w:val="00070B57"/>
    <w:rsid w:val="0007123F"/>
    <w:rsid w:val="00092B42"/>
    <w:rsid w:val="000A4282"/>
    <w:rsid w:val="000A5C96"/>
    <w:rsid w:val="000B0E1D"/>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2036"/>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23FB8"/>
    <w:rsid w:val="0023506B"/>
    <w:rsid w:val="00235D63"/>
    <w:rsid w:val="00244DF5"/>
    <w:rsid w:val="0025140F"/>
    <w:rsid w:val="00255B18"/>
    <w:rsid w:val="00275188"/>
    <w:rsid w:val="002965A6"/>
    <w:rsid w:val="002A088B"/>
    <w:rsid w:val="002A3CC0"/>
    <w:rsid w:val="002B14D9"/>
    <w:rsid w:val="002C609F"/>
    <w:rsid w:val="002D14FB"/>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591D"/>
    <w:rsid w:val="00366E33"/>
    <w:rsid w:val="00367BDE"/>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21DAF"/>
    <w:rsid w:val="00433684"/>
    <w:rsid w:val="00434A3B"/>
    <w:rsid w:val="004408D6"/>
    <w:rsid w:val="00443640"/>
    <w:rsid w:val="004613F6"/>
    <w:rsid w:val="0046167E"/>
    <w:rsid w:val="00471304"/>
    <w:rsid w:val="004728C5"/>
    <w:rsid w:val="00474F07"/>
    <w:rsid w:val="0048646B"/>
    <w:rsid w:val="0048755D"/>
    <w:rsid w:val="00487DC0"/>
    <w:rsid w:val="0049207B"/>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24130"/>
    <w:rsid w:val="00632228"/>
    <w:rsid w:val="006339C2"/>
    <w:rsid w:val="00634BE9"/>
    <w:rsid w:val="00645CFF"/>
    <w:rsid w:val="00653C3C"/>
    <w:rsid w:val="00657E52"/>
    <w:rsid w:val="00677003"/>
    <w:rsid w:val="00683B70"/>
    <w:rsid w:val="00684A9E"/>
    <w:rsid w:val="00693E36"/>
    <w:rsid w:val="0069573B"/>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44B43"/>
    <w:rsid w:val="00776F49"/>
    <w:rsid w:val="007811E1"/>
    <w:rsid w:val="00786EC6"/>
    <w:rsid w:val="007953B6"/>
    <w:rsid w:val="007A1367"/>
    <w:rsid w:val="007A46B2"/>
    <w:rsid w:val="007A5902"/>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604CA"/>
    <w:rsid w:val="00863CCE"/>
    <w:rsid w:val="008674AC"/>
    <w:rsid w:val="00867E33"/>
    <w:rsid w:val="00872986"/>
    <w:rsid w:val="00881683"/>
    <w:rsid w:val="00884236"/>
    <w:rsid w:val="00891AF4"/>
    <w:rsid w:val="0089440E"/>
    <w:rsid w:val="008A28A9"/>
    <w:rsid w:val="008B705A"/>
    <w:rsid w:val="008C2311"/>
    <w:rsid w:val="008D0FC6"/>
    <w:rsid w:val="008E5A96"/>
    <w:rsid w:val="008F72D2"/>
    <w:rsid w:val="00901254"/>
    <w:rsid w:val="00903CBF"/>
    <w:rsid w:val="00911FDD"/>
    <w:rsid w:val="00913C94"/>
    <w:rsid w:val="0091719F"/>
    <w:rsid w:val="00921737"/>
    <w:rsid w:val="0092491C"/>
    <w:rsid w:val="00934732"/>
    <w:rsid w:val="00941B5A"/>
    <w:rsid w:val="00944562"/>
    <w:rsid w:val="00946B54"/>
    <w:rsid w:val="00954A84"/>
    <w:rsid w:val="00954E29"/>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3B8B"/>
    <w:rsid w:val="00AC3F34"/>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64FD"/>
    <w:rsid w:val="00B73C3C"/>
    <w:rsid w:val="00B747D8"/>
    <w:rsid w:val="00B75350"/>
    <w:rsid w:val="00B75C29"/>
    <w:rsid w:val="00B77FF8"/>
    <w:rsid w:val="00B829DB"/>
    <w:rsid w:val="00B84871"/>
    <w:rsid w:val="00B84C91"/>
    <w:rsid w:val="00B87C5A"/>
    <w:rsid w:val="00B87FB1"/>
    <w:rsid w:val="00B911C4"/>
    <w:rsid w:val="00B92FCA"/>
    <w:rsid w:val="00BA3387"/>
    <w:rsid w:val="00BA4329"/>
    <w:rsid w:val="00BA57FA"/>
    <w:rsid w:val="00BB16F9"/>
    <w:rsid w:val="00BB6083"/>
    <w:rsid w:val="00BD1794"/>
    <w:rsid w:val="00BD61C6"/>
    <w:rsid w:val="00BD7A6E"/>
    <w:rsid w:val="00BE069B"/>
    <w:rsid w:val="00BE1267"/>
    <w:rsid w:val="00BE5EB4"/>
    <w:rsid w:val="00BF33A5"/>
    <w:rsid w:val="00C120EA"/>
    <w:rsid w:val="00C20BDF"/>
    <w:rsid w:val="00C21DA1"/>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226"/>
    <w:rsid w:val="00C833E2"/>
    <w:rsid w:val="00CA136E"/>
    <w:rsid w:val="00CB43DC"/>
    <w:rsid w:val="00CC1C42"/>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F1A"/>
    <w:rsid w:val="00E90FD7"/>
    <w:rsid w:val="00EA03E0"/>
    <w:rsid w:val="00EA6F2A"/>
    <w:rsid w:val="00EB027C"/>
    <w:rsid w:val="00EB2E68"/>
    <w:rsid w:val="00EB395C"/>
    <w:rsid w:val="00ED1675"/>
    <w:rsid w:val="00ED5FAE"/>
    <w:rsid w:val="00EE38B3"/>
    <w:rsid w:val="00EE7C96"/>
    <w:rsid w:val="00EF1406"/>
    <w:rsid w:val="00F06A8D"/>
    <w:rsid w:val="00F1552D"/>
    <w:rsid w:val="00F24740"/>
    <w:rsid w:val="00F25695"/>
    <w:rsid w:val="00F274DC"/>
    <w:rsid w:val="00F361EC"/>
    <w:rsid w:val="00F37CDE"/>
    <w:rsid w:val="00F53278"/>
    <w:rsid w:val="00F53B6F"/>
    <w:rsid w:val="00F5438A"/>
    <w:rsid w:val="00F61D74"/>
    <w:rsid w:val="00F61F50"/>
    <w:rsid w:val="00F630CE"/>
    <w:rsid w:val="00F7055D"/>
    <w:rsid w:val="00F727B0"/>
    <w:rsid w:val="00F93859"/>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skeren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09FE10AB-69D8-4E56-BC52-C06D14C57882}">
  <ds:schemaRefs>
    <ds:schemaRef ds:uri="http://schemas.openxmlformats.org/officeDocument/2006/bibliography"/>
  </ds:schemaRefs>
</ds:datastoreItem>
</file>

<file path=customXml/itemProps4.xml><?xml version="1.0" encoding="utf-8"?>
<ds:datastoreItem xmlns:ds="http://schemas.openxmlformats.org/officeDocument/2006/customXml" ds:itemID="{F7CBA0BC-804F-40F1-A033-D0FAD89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2774</Words>
  <Characters>15813</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5</cp:revision>
  <dcterms:created xsi:type="dcterms:W3CDTF">2022-10-03T12:24:00Z</dcterms:created>
  <dcterms:modified xsi:type="dcterms:W3CDTF">2022-10-11T08:23:00Z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