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4A2BE934" w:rsidR="007E1236" w:rsidRPr="00893255" w:rsidRDefault="00FF38EE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DC2B452" w14:textId="55DFD757" w:rsidR="007E1236" w:rsidRPr="00893255" w:rsidRDefault="00FF38EE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5C1A44DA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B8781E">
        <w:rPr>
          <w:rFonts w:ascii="Times New Roman" w:hAnsi="Times New Roman" w:cs="Times New Roman"/>
          <w:sz w:val="28"/>
        </w:rPr>
        <w:t xml:space="preserve">NA PREDLOŽENIE PONUKY </w:t>
      </w:r>
      <w:bookmarkStart w:id="0" w:name="_GoBack"/>
      <w:bookmarkEnd w:id="0"/>
      <w:r w:rsidR="00B8781E" w:rsidRPr="00C1642C">
        <w:rPr>
          <w:rFonts w:ascii="Times New Roman" w:hAnsi="Times New Roman" w:cs="Times New Roman"/>
          <w:sz w:val="28"/>
        </w:rPr>
        <w:t>č. 4</w:t>
      </w:r>
      <w:r w:rsidR="00FF38EE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1679DD74" w14:textId="77777777" w:rsidR="00FF38EE" w:rsidRPr="00736A65" w:rsidRDefault="00EE5F16" w:rsidP="00FF38EE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FF38EE" w:rsidRPr="00736A65">
        <w:rPr>
          <w:rFonts w:ascii="Times New Roman" w:hAnsi="Times New Roman" w:cs="Times New Roman"/>
          <w:color w:val="000000"/>
        </w:rPr>
        <w:t>Názov organizácie: Fakultná nemocnica Trenčín</w:t>
      </w:r>
    </w:p>
    <w:p w14:paraId="5C315ED7" w14:textId="77777777" w:rsidR="00FF38EE" w:rsidRPr="00736A65" w:rsidRDefault="00FF38EE" w:rsidP="00FF38EE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  Legionárska 28, 911 71 Trenčín</w:t>
      </w:r>
    </w:p>
    <w:p w14:paraId="6D1044AE" w14:textId="3F235DFF" w:rsidR="00FF38EE" w:rsidRDefault="00FF38EE" w:rsidP="00FF38EE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  <w:t xml:space="preserve"> 00 610</w:t>
      </w:r>
      <w:r>
        <w:rPr>
          <w:color w:val="000000"/>
          <w:sz w:val="24"/>
          <w:szCs w:val="24"/>
        </w:rPr>
        <w:t> </w:t>
      </w:r>
      <w:r w:rsidRPr="00736A65">
        <w:rPr>
          <w:color w:val="000000"/>
          <w:sz w:val="24"/>
          <w:szCs w:val="24"/>
        </w:rPr>
        <w:t>470</w:t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D0F99F4" w:rsidR="001F0387" w:rsidRPr="001F0387" w:rsidRDefault="001F0387" w:rsidP="00FF38E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FF38EE">
              <w:rPr>
                <w:rFonts w:ascii="Calibri" w:hAnsi="Calibri" w:cs="Calibri"/>
                <w:b w:val="0"/>
                <w:sz w:val="20"/>
                <w:szCs w:val="20"/>
              </w:rPr>
              <w:t xml:space="preserve">FNTN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357AF32F" w:rsidR="001F0387" w:rsidRPr="00E03E79" w:rsidRDefault="005D2CCD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225BB590" w:rsidR="001F0387" w:rsidRPr="0026224A" w:rsidRDefault="001F0387" w:rsidP="00FF38EE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FF38EE">
              <w:rPr>
                <w:rFonts w:ascii="Calibri" w:hAnsi="Calibri" w:cs="Calibri"/>
                <w:b w:val="0"/>
                <w:sz w:val="20"/>
                <w:szCs w:val="20"/>
              </w:rPr>
              <w:t xml:space="preserve">FNTN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4083D232" w:rsidR="001F0387" w:rsidRPr="00E03E79" w:rsidRDefault="005D2CCD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4FCA74A0" w:rsidR="00E03E79" w:rsidRPr="0026224A" w:rsidRDefault="00E03E79" w:rsidP="00FF38EE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0A0D05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FF38EE">
              <w:rPr>
                <w:rFonts w:ascii="Calibri" w:hAnsi="Calibri" w:cs="Calibri"/>
                <w:b w:val="0"/>
                <w:sz w:val="20"/>
                <w:szCs w:val="20"/>
              </w:rPr>
              <w:t xml:space="preserve">FNTN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15B91AEB" w:rsidR="00E03E79" w:rsidRPr="00E03E79" w:rsidRDefault="00991C83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19E5CB9D" w14:textId="4AD9E623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45EB923" w14:textId="60F1472F" w:rsidR="00FF38EE" w:rsidRDefault="00FF38EE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344BD41" w14:textId="1F1D1EA9" w:rsidR="00FF38EE" w:rsidRDefault="00FF38EE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0C44D26C" w14:textId="47492E0F" w:rsidR="00FF38EE" w:rsidRDefault="00FF38EE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1BB8AA" w14:textId="596DAED8" w:rsidR="00B8781E" w:rsidRDefault="00B8781E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C4D9B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="008001A3">
        <w:rPr>
          <w:rFonts w:ascii="Times New Roman" w:hAnsi="Times New Roman" w:cs="Times New Roman"/>
          <w:color w:val="FF0000"/>
          <w:highlight w:val="yellow"/>
        </w:rPr>
        <w:t>Fresenius</w:t>
      </w:r>
      <w:proofErr w:type="spellEnd"/>
      <w:r w:rsidR="008001A3">
        <w:rPr>
          <w:rFonts w:ascii="Times New Roman" w:hAnsi="Times New Roman" w:cs="Times New Roman"/>
          <w:color w:val="FF0000"/>
          <w:highlight w:val="yellow"/>
        </w:rPr>
        <w:t xml:space="preserve"> </w:t>
      </w:r>
      <w:proofErr w:type="spellStart"/>
      <w:r w:rsidR="008001A3">
        <w:rPr>
          <w:rFonts w:ascii="Times New Roman" w:hAnsi="Times New Roman" w:cs="Times New Roman"/>
          <w:color w:val="FF0000"/>
          <w:highlight w:val="yellow"/>
        </w:rPr>
        <w:t>Kabi</w:t>
      </w:r>
      <w:proofErr w:type="spellEnd"/>
      <w:r w:rsidRPr="00FF38EE">
        <w:rPr>
          <w:rFonts w:ascii="Times New Roman" w:hAnsi="Times New Roman" w:cs="Times New Roman"/>
          <w:color w:val="FF0000"/>
          <w:highlight w:val="yellow"/>
        </w:rPr>
        <w:t>.</w:t>
      </w:r>
    </w:p>
    <w:p w14:paraId="100FD667" w14:textId="77777777" w:rsidR="00B8781E" w:rsidRDefault="00B8781E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8060CB2" w14:textId="77777777" w:rsidR="00B8781E" w:rsidRDefault="00B8781E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4AA0DB33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946A8E4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476AA9" w:rsidRPr="00476AA9">
        <w:rPr>
          <w:rFonts w:ascii="Times New Roman" w:hAnsi="Times New Roman" w:cs="Times New Roman"/>
          <w:highlight w:val="yellow"/>
        </w:rPr>
        <w:t>24 170</w:t>
      </w:r>
      <w:r w:rsidR="00B40F50" w:rsidRPr="00476AA9">
        <w:rPr>
          <w:rFonts w:ascii="Times New Roman" w:hAnsi="Times New Roman" w:cs="Times New Roman"/>
          <w:highlight w:val="yellow"/>
        </w:rPr>
        <w:t>,00</w:t>
      </w:r>
      <w:r w:rsidRPr="00476AA9">
        <w:rPr>
          <w:rFonts w:ascii="Times New Roman" w:hAnsi="Times New Roman" w:cs="Times New Roman"/>
          <w:highlight w:val="yellow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23F42A60" w:rsidR="00D31C34" w:rsidRDefault="00D31C34" w:rsidP="00FF38EE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FF38EE" w:rsidRPr="00CE68BC">
        <w:rPr>
          <w:bCs/>
          <w:sz w:val="24"/>
          <w:szCs w:val="24"/>
        </w:rPr>
        <w:t>Fakultná nemocnica Trenčín, Legionárska 28, 911 71 Trenčín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771A48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808E9">
        <w:rPr>
          <w:color w:val="FF0000"/>
          <w:sz w:val="24"/>
          <w:szCs w:val="24"/>
        </w:rPr>
        <w:t>2</w:t>
      </w:r>
      <w:r w:rsidR="004269CC">
        <w:rPr>
          <w:color w:val="FF0000"/>
          <w:sz w:val="24"/>
          <w:szCs w:val="24"/>
        </w:rPr>
        <w:t>9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2985B18F" w14:textId="77777777" w:rsidR="002D2DF2" w:rsidRDefault="002D2DF2" w:rsidP="002D2DF2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08F98761" w14:textId="77777777" w:rsidR="002D2DF2" w:rsidRPr="009F7C70" w:rsidRDefault="002D2DF2" w:rsidP="002D2DF2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bookmarkEnd w:id="2"/>
    <w:p w14:paraId="4D52E220" w14:textId="4328E139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za predmet zákazky v EUR s DPH     K1 </w:t>
      </w:r>
      <w:r>
        <w:rPr>
          <w:sz w:val="24"/>
          <w:szCs w:val="24"/>
        </w:rPr>
        <w:tab/>
        <w:t>8</w:t>
      </w:r>
      <w:r w:rsidR="00B40F50">
        <w:rPr>
          <w:sz w:val="24"/>
          <w:szCs w:val="24"/>
        </w:rPr>
        <w:t>1</w:t>
      </w:r>
      <w:r>
        <w:rPr>
          <w:sz w:val="24"/>
          <w:szCs w:val="24"/>
        </w:rPr>
        <w:t xml:space="preserve"> bodov</w:t>
      </w:r>
    </w:p>
    <w:p w14:paraId="7FB9B472" w14:textId="2F3DD859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</w:t>
      </w:r>
      <w:r w:rsidR="00B40F50">
        <w:rPr>
          <w:sz w:val="24"/>
          <w:szCs w:val="24"/>
        </w:rPr>
        <w:t>9</w:t>
      </w:r>
      <w:r>
        <w:rPr>
          <w:sz w:val="24"/>
          <w:szCs w:val="24"/>
        </w:rPr>
        <w:t xml:space="preserve"> bodov</w:t>
      </w:r>
    </w:p>
    <w:p w14:paraId="124C7CEB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Súčet bodov za kritéria hodnotenia ponúk</w:t>
      </w:r>
      <w:r>
        <w:rPr>
          <w:sz w:val="24"/>
          <w:szCs w:val="24"/>
        </w:rPr>
        <w:tab/>
        <w:t xml:space="preserve">                      100 bodov</w:t>
      </w:r>
    </w:p>
    <w:p w14:paraId="1B60EE75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0A8C2FC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Pravidlá uplatnenia kritérií: </w:t>
      </w:r>
    </w:p>
    <w:p w14:paraId="154D3E80" w14:textId="3F476B73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za predmet zákazky v Euro s DPH - K1 (váha pre koeficient je 81) - </w:t>
      </w:r>
    </w:p>
    <w:p w14:paraId="4F637F34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Spôsob výpočtu:</w:t>
      </w:r>
    </w:p>
    <w:p w14:paraId="3713CB67" w14:textId="2950ADEF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×81=Počet bodov</m:t>
          </m:r>
        </m:oMath>
      </m:oMathPara>
    </w:p>
    <w:p w14:paraId="0D6EFC46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5D0B256" w14:textId="69D57F23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Body za kvalitatívne parametre – K2 (váha pre koeficient je 1</w:t>
      </w:r>
      <w:r w:rsidR="00B40F50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6A777D" w14:paraId="646FAAF7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69430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Lineárne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FD48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08DF6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17,5</w:t>
            </w:r>
          </w:p>
        </w:tc>
      </w:tr>
      <w:tr w:rsidR="006A777D" w14:paraId="7D93D131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FEAE42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FDC5E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65B313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558213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CD3738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TOM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over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C20E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173BA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6629BCA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FE8FD3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05383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F0BBD5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5F9C95F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F842C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Špeciálny softvér na sledovanie tlakov - nadstavba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E8C7D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E05EA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4BBEFC7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33233E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Automatické uchytenie striekačky pri vkladaní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BBF9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50E07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74C58B19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7F130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Alarm prekročenia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rýchlosti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1CB2B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015FD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230538D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76246F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Alarm pri zadaní hodnoty mimo povolený rozsah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6094F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F64A8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5165463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2E966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0BE9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CFDE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</w:p>
        </w:tc>
      </w:tr>
      <w:tr w:rsidR="006A777D" w14:paraId="5CDC8A74" w14:textId="77777777" w:rsidTr="006A777D">
        <w:trPr>
          <w:trHeight w:val="122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4431EE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Volumetrické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51E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EC79C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20</w:t>
            </w:r>
          </w:p>
        </w:tc>
      </w:tr>
      <w:tr w:rsidR="006A777D" w14:paraId="73F7032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87BBB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  <w:p w14:paraId="276F6484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Nábeh a pokles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6FDC8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C8A01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443DDC63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41EC1A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0B8CF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2BD2A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2E77D71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9BF5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Možnosť zmeniť rýchlosť prietoku alebo dávky bez nutnosti prerušenia terapie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37BF3F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B0CB6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38BDB88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83F27C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Programovateľný režim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A6A6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D16FDF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0B11AC2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C9F8E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Podávanie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enterálnej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výživy aj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1F13D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70852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F78414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5C6C68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Funkcia auto-testu kontrolujúca správnu činnosť pumpy v spojení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782C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212AE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CA1E699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6E0F33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49E468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C2B32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13446A2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183DBF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Výstražny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alarm rozpojenia linky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58AC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A9A53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</w:tbl>
    <w:p w14:paraId="2D86A745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40BC442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>
        <w:rPr>
          <w:rFonts w:ascii="Times New Roman" w:eastAsia="Calibri" w:hAnsi="Times New Roman" w:cs="Times New Roman"/>
        </w:rPr>
        <w:t xml:space="preserve">Spôsob výpočtu celkového počtu bodov za kvalitatívne parametre: </w:t>
      </w:r>
    </w:p>
    <w:p w14:paraId="5274DA10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7DE7998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5CEB97A1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524EC67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Výsledná hodnota za zaokrúhľuje na najbližšie celé, alebo polovičné desatinne miesto (čiže 0; 0,5; alebo 1). </w:t>
      </w:r>
    </w:p>
    <w:p w14:paraId="048E215C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BA27626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29B84B2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  <w:bookmarkEnd w:id="4"/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1C56" w14:textId="77777777" w:rsidR="00081E79" w:rsidRDefault="00081E79" w:rsidP="00110C23">
      <w:r>
        <w:separator/>
      </w:r>
    </w:p>
  </w:endnote>
  <w:endnote w:type="continuationSeparator" w:id="0">
    <w:p w14:paraId="1B95B004" w14:textId="77777777" w:rsidR="00081E79" w:rsidRDefault="00081E7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BF9A" w14:textId="77777777" w:rsidR="00081E79" w:rsidRDefault="00081E79" w:rsidP="00110C23">
      <w:r>
        <w:separator/>
      </w:r>
    </w:p>
  </w:footnote>
  <w:footnote w:type="continuationSeparator" w:id="0">
    <w:p w14:paraId="1966BC3E" w14:textId="77777777" w:rsidR="00081E79" w:rsidRDefault="00081E7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E8DF" w14:textId="77777777" w:rsidR="00FF38EE" w:rsidRDefault="00FF38EE" w:rsidP="00FF38EE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E34337" wp14:editId="0C96738B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DB57D1" wp14:editId="33C4A8DF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8F327B" wp14:editId="02905D66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89971" w14:textId="77777777" w:rsidR="00FF38EE" w:rsidRDefault="00FF38EE" w:rsidP="00FF38EE">
    <w:pPr>
      <w:pStyle w:val="Hlavika"/>
    </w:pPr>
  </w:p>
  <w:p w14:paraId="011D2730" w14:textId="75271C8B" w:rsidR="00110C23" w:rsidRPr="00FF38EE" w:rsidRDefault="00110C23" w:rsidP="00FF38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81E79"/>
    <w:rsid w:val="000A0D05"/>
    <w:rsid w:val="000A1F6D"/>
    <w:rsid w:val="0011056B"/>
    <w:rsid w:val="00110C23"/>
    <w:rsid w:val="001873A6"/>
    <w:rsid w:val="001875D5"/>
    <w:rsid w:val="001D34A5"/>
    <w:rsid w:val="001F0387"/>
    <w:rsid w:val="00246183"/>
    <w:rsid w:val="002B7B6A"/>
    <w:rsid w:val="002D2DF2"/>
    <w:rsid w:val="00334E6E"/>
    <w:rsid w:val="004269CC"/>
    <w:rsid w:val="004368A3"/>
    <w:rsid w:val="00462E48"/>
    <w:rsid w:val="00476AA9"/>
    <w:rsid w:val="004D0178"/>
    <w:rsid w:val="00515ED5"/>
    <w:rsid w:val="00522246"/>
    <w:rsid w:val="005447AF"/>
    <w:rsid w:val="005D2CCD"/>
    <w:rsid w:val="0060490C"/>
    <w:rsid w:val="006808E9"/>
    <w:rsid w:val="006A777D"/>
    <w:rsid w:val="006D74E7"/>
    <w:rsid w:val="006F1F78"/>
    <w:rsid w:val="007014F7"/>
    <w:rsid w:val="0073453C"/>
    <w:rsid w:val="00760909"/>
    <w:rsid w:val="00761692"/>
    <w:rsid w:val="007E1236"/>
    <w:rsid w:val="007E30C7"/>
    <w:rsid w:val="008001A3"/>
    <w:rsid w:val="00834682"/>
    <w:rsid w:val="00846FAF"/>
    <w:rsid w:val="008C4D9B"/>
    <w:rsid w:val="008E34F6"/>
    <w:rsid w:val="009136BD"/>
    <w:rsid w:val="0092713A"/>
    <w:rsid w:val="009342AD"/>
    <w:rsid w:val="00991C83"/>
    <w:rsid w:val="009B5A58"/>
    <w:rsid w:val="009F7C70"/>
    <w:rsid w:val="00A0022B"/>
    <w:rsid w:val="00A657C9"/>
    <w:rsid w:val="00A83A41"/>
    <w:rsid w:val="00B07545"/>
    <w:rsid w:val="00B40F50"/>
    <w:rsid w:val="00B5113D"/>
    <w:rsid w:val="00B73AEE"/>
    <w:rsid w:val="00B81A63"/>
    <w:rsid w:val="00B8781E"/>
    <w:rsid w:val="00C04A10"/>
    <w:rsid w:val="00C1642C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  <w:rsid w:val="00F94173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27</cp:revision>
  <cp:lastPrinted>2018-11-21T11:11:00Z</cp:lastPrinted>
  <dcterms:created xsi:type="dcterms:W3CDTF">2019-03-22T09:16:00Z</dcterms:created>
  <dcterms:modified xsi:type="dcterms:W3CDTF">2019-04-10T07:40:00Z</dcterms:modified>
</cp:coreProperties>
</file>