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5AA3FCF1" w14:textId="77777777" w:rsidR="00F552BC" w:rsidRPr="0013285C" w:rsidRDefault="0013285C" w:rsidP="00F552BC">
      <w:pPr>
        <w:pStyle w:val="Default"/>
        <w:jc w:val="center"/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</w:pPr>
      <w:r w:rsidRPr="0013285C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Pekárenské a cukrárenské výrobky_KE 2022</w:t>
      </w:r>
    </w:p>
    <w:p w14:paraId="602B9692" w14:textId="77777777" w:rsidR="00F552BC" w:rsidRPr="00076D81" w:rsidRDefault="00F552BC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77777777" w:rsidR="00F552BC" w:rsidRPr="00076D81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13285C">
        <w:rPr>
          <w:rFonts w:ascii="Arial Narrow" w:hAnsi="Arial Narrow"/>
        </w:rPr>
        <w:t>08.11.2022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2C71E96D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 </w:t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veronika.somorovska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9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77777777" w:rsidR="00D62180" w:rsidRPr="007B3609" w:rsidRDefault="00BC4B6D" w:rsidP="007025B0">
      <w:pPr>
        <w:spacing w:line="276" w:lineRule="auto"/>
        <w:jc w:val="both"/>
        <w:rPr>
          <w:rFonts w:ascii="Arial Narrow" w:hAnsi="Arial Narrow"/>
          <w:noProof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13285C" w:rsidRPr="007B3609">
        <w:rPr>
          <w:rFonts w:ascii="Arial Narrow" w:hAnsi="Arial Narrow"/>
        </w:rPr>
        <w:t>pekárenských a cukrárenských výrobkov</w:t>
      </w:r>
      <w:r w:rsid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77777777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 xml:space="preserve">do18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77777777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>
        <w:rPr>
          <w:rFonts w:ascii="Arial Narrow" w:eastAsia="Calibri" w:hAnsi="Arial Narrow"/>
          <w:b/>
        </w:rPr>
        <w:t>95 270,00</w:t>
      </w:r>
      <w:r w:rsidRPr="00880207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2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3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10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1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5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6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2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77777777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2 desatinné miesta v EUR </w:t>
      </w:r>
      <w:r w:rsidR="00EF14A5" w:rsidRPr="007B3609">
        <w:rPr>
          <w:rFonts w:ascii="Arial Narrow" w:hAnsi="Arial Narrow"/>
          <w:color w:val="000000"/>
          <w:shd w:val="clear" w:color="auto" w:fill="FFFFFF"/>
        </w:rPr>
        <w:t>s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7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8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bookmarkStart w:id="9" w:name="_GoBack"/>
      <w:bookmarkEnd w:id="9"/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3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4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2D6A0D7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Pr="007B3609">
        <w:rPr>
          <w:rFonts w:ascii="Arial Narrow" w:hAnsi="Arial Narrow"/>
          <w:b/>
        </w:rPr>
        <w:t>najviac na 2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 za celý predmet zákazky v EUR s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7A29DA6E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 nemohol uzatvoriť s ním zmluvu.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5"/>
      <w:footerReference w:type="default" r:id="rId16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637777" w15:done="0"/>
  <w15:commentEx w15:paraId="5BEAE74C" w15:done="0"/>
  <w15:commentEx w15:paraId="5DB82AFF" w15:done="0"/>
  <w15:commentEx w15:paraId="7D56510C" w15:done="0"/>
  <w15:commentEx w15:paraId="737046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ED9CE" w14:textId="77777777" w:rsidR="006F5C7C" w:rsidRDefault="006F5C7C">
      <w:r>
        <w:separator/>
      </w:r>
    </w:p>
  </w:endnote>
  <w:endnote w:type="continuationSeparator" w:id="0">
    <w:p w14:paraId="749FF776" w14:textId="77777777" w:rsidR="006F5C7C" w:rsidRDefault="006F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E06D" w14:textId="0304005D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0947A6">
      <w:rPr>
        <w:rFonts w:ascii="Arial Narrow" w:hAnsi="Arial Narrow"/>
        <w:noProof/>
        <w:sz w:val="16"/>
        <w:szCs w:val="16"/>
      </w:rPr>
      <w:t>9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9C456" w14:textId="77777777" w:rsidR="006F5C7C" w:rsidRDefault="006F5C7C">
      <w:r>
        <w:separator/>
      </w:r>
    </w:p>
  </w:footnote>
  <w:footnote w:type="continuationSeparator" w:id="0">
    <w:p w14:paraId="630EEE00" w14:textId="77777777" w:rsidR="006F5C7C" w:rsidRDefault="006F5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0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1"/>
  </w:num>
  <w:num w:numId="21">
    <w:abstractNumId w:val="17"/>
  </w:num>
  <w:num w:numId="22">
    <w:abstractNumId w:val="22"/>
  </w:num>
  <w:num w:numId="23">
    <w:abstractNumId w:val="9"/>
  </w:num>
  <w:num w:numId="24">
    <w:abstractNumId w:val="11"/>
  </w:num>
  <w:num w:numId="25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zef Kubinec">
    <w15:presenceInfo w15:providerId="AD" w15:userId="S-1-5-21-352021142-1903484755-3030794557-202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yperlink" Target="https://josephine.proebiz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D7BCA-956E-4BFB-A16F-59F2485D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0</TotalTime>
  <Pages>9</Pages>
  <Words>2965</Words>
  <Characters>16906</Characters>
  <Application>Microsoft Office Word</Application>
  <DocSecurity>0</DocSecurity>
  <Lines>140</Lines>
  <Paragraphs>39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19832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2</cp:revision>
  <cp:lastPrinted>2021-01-20T13:59:00Z</cp:lastPrinted>
  <dcterms:created xsi:type="dcterms:W3CDTF">2022-11-08T13:04:00Z</dcterms:created>
  <dcterms:modified xsi:type="dcterms:W3CDTF">2022-11-08T13:04:00Z</dcterms:modified>
</cp:coreProperties>
</file>