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A46" w:rsidRDefault="00660B62" w14:paraId="51E7EF9B" w14:textId="77777777">
      <w:r>
        <w:rPr>
          <w:rFonts w:cs="Calibri"/>
          <w:sz w:val="20"/>
          <w:szCs w:val="20"/>
        </w:rPr>
        <w:t>Príloha č. 11 OVS</w:t>
      </w:r>
    </w:p>
    <w:p w:rsidR="008D3A46" w:rsidRDefault="00660B62" w14:paraId="51E7EF9C" w14:textId="77777777">
      <w:pPr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FORMULÁR TECHNICKÉHO RIEŠENIA VYBRANÝCH ZARIADENÍ</w:t>
      </w:r>
    </w:p>
    <w:p w:rsidR="008D3A46" w:rsidRDefault="008D3A46" w14:paraId="51E7EF9D" w14:textId="77777777">
      <w:pPr>
        <w:rPr>
          <w:rFonts w:cs="Calibr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8D3A46" w14:paraId="51E7EF9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EF9E" w14:textId="7777777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Formulár technického riešenia</w:t>
            </w:r>
          </w:p>
        </w:tc>
      </w:tr>
      <w:tr w:rsidR="008D3A46" w14:paraId="51E7EFA4" w14:textId="777777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9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8D3A46" w14:paraId="51E7EFA0" w14:textId="77777777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8D3A46" w:rsidRDefault="00660B62" w14:paraId="51E7EFA1" w14:textId="77777777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Názov zákazky: </w:t>
            </w:r>
            <w:bookmarkStart w:name="_Hlk106657028" w:id="0"/>
          </w:p>
          <w:p w:rsidR="008D3A46" w:rsidRDefault="00660B62" w14:paraId="51E7EFA2" w14:textId="77777777">
            <w:pPr>
              <w:spacing w:after="0"/>
            </w:pPr>
            <w:r>
              <w:rPr>
                <w:rFonts w:ascii="Times New Roman" w:hAnsi="Times New Roman"/>
                <w:b/>
              </w:rPr>
              <w:t>Dodávka a inštalácia zariadení na výrobu vodíka PEM elektrolytickým</w:t>
            </w:r>
            <w:r>
              <w:rPr>
                <w:rFonts w:ascii="Times New Roman" w:hAnsi="Times New Roman"/>
                <w:b/>
              </w:rPr>
              <w:t xml:space="preserve"> procesom</w:t>
            </w:r>
            <w:bookmarkEnd w:id="0"/>
          </w:p>
          <w:p w:rsidR="008D3A46" w:rsidRDefault="008D3A46" w14:paraId="51E7EFA3" w14:textId="77777777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</w:tbl>
    <w:p w:rsidR="008D3A46" w:rsidRDefault="008D3A46" w14:paraId="51E7EFA5" w14:textId="77777777">
      <w:pPr>
        <w:rPr>
          <w:rFonts w:cs="Calibri"/>
          <w:sz w:val="20"/>
          <w:szCs w:val="20"/>
        </w:rPr>
      </w:pPr>
    </w:p>
    <w:tbl>
      <w:tblPr>
        <w:tblW w:w="9067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6090"/>
      </w:tblGrid>
      <w:tr w:rsidR="008D3A46" w14:paraId="51E7EFA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EFA6" w14:textId="77777777">
            <w:pPr>
              <w:pStyle w:val="Odsekzoznamu"/>
              <w:spacing w:after="0"/>
              <w:ind w:left="0"/>
            </w:pPr>
            <w:r>
              <w:rPr>
                <w:rFonts w:cs="Calibri"/>
                <w:bCs/>
                <w:sz w:val="20"/>
                <w:szCs w:val="20"/>
              </w:rPr>
              <w:t>Obchodný názov navrhovateľa: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8D3A46" w14:paraId="51E7EFA7" w14:textId="77777777">
            <w:pPr>
              <w:pStyle w:val="Odsekzoznamu"/>
              <w:spacing w:after="0"/>
              <w:ind w:left="0"/>
              <w:rPr>
                <w:rFonts w:cs="Calibri"/>
                <w:sz w:val="20"/>
                <w:szCs w:val="20"/>
              </w:rPr>
            </w:pPr>
          </w:p>
        </w:tc>
      </w:tr>
      <w:tr w:rsidR="008D3A46" w14:paraId="51E7EFA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EFA9" w14:textId="77777777">
            <w:pPr>
              <w:pStyle w:val="Odsekzoznamu"/>
              <w:spacing w:after="0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navrhovateľa: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8D3A46" w14:paraId="51E7EFAA" w14:textId="77777777">
            <w:pPr>
              <w:pStyle w:val="Odsekzoznamu"/>
              <w:spacing w:after="0"/>
              <w:ind w:left="0"/>
              <w:rPr>
                <w:rFonts w:cs="Calibri"/>
                <w:sz w:val="20"/>
                <w:szCs w:val="20"/>
              </w:rPr>
            </w:pPr>
          </w:p>
        </w:tc>
      </w:tr>
      <w:tr w:rsidR="008D3A46" w14:paraId="51E7EFA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EFAC" w14:textId="77777777">
            <w:pPr>
              <w:pStyle w:val="Odsekzoznamu"/>
              <w:spacing w:after="0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Registračné údaje navrhovateľa (IČO, DIČ) :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8D3A46" w14:paraId="51E7EFAD" w14:textId="77777777">
            <w:pPr>
              <w:pStyle w:val="Odsekzoznamu"/>
              <w:spacing w:after="0"/>
              <w:ind w:left="0"/>
              <w:rPr>
                <w:rFonts w:cs="Calibri"/>
                <w:sz w:val="20"/>
                <w:szCs w:val="20"/>
              </w:rPr>
            </w:pPr>
          </w:p>
        </w:tc>
      </w:tr>
    </w:tbl>
    <w:p w:rsidR="008D3A46" w:rsidRDefault="008D3A46" w14:paraId="51E7EFAF" w14:textId="77777777">
      <w:pPr>
        <w:rPr>
          <w:rFonts w:cs="Calibri"/>
          <w:sz w:val="20"/>
          <w:szCs w:val="20"/>
        </w:rPr>
      </w:pPr>
    </w:p>
    <w:p w:rsidR="008D3A46" w:rsidRDefault="00660B62" w14:paraId="51E7EFB0" w14:textId="77777777">
      <w:pPr>
        <w:pStyle w:val="Nadpis1"/>
      </w:pPr>
      <w:r>
        <w:t xml:space="preserve">ČASŤ – NÁVRH TECHNICKÉHO RIEŠENIA </w:t>
      </w:r>
    </w:p>
    <w:p w:rsidR="008D3A46" w:rsidRDefault="00660B62" w14:paraId="51E7EFB2" w14:textId="77777777">
      <w:pPr>
        <w:spacing w:before="120"/>
        <w:jc w:val="both"/>
        <w:rPr>
          <w:rFonts w:cs="Calibri"/>
        </w:rPr>
      </w:pPr>
      <w:bookmarkStart w:name="_GoBack" w:id="1"/>
      <w:bookmarkEnd w:id="1"/>
      <w:r>
        <w:rPr>
          <w:rFonts w:cs="Calibri"/>
        </w:rPr>
        <w:t xml:space="preserve">Technický popis  navrhovateľom navrhovaných  zariadení.  Navrhovateľ uvedie </w:t>
      </w:r>
      <w:r>
        <w:rPr>
          <w:rFonts w:cs="Calibri"/>
        </w:rPr>
        <w:t xml:space="preserve">obchodné označenie a parametre  konkrétneho zariadenia, ktorými preukáže splnenie požiadaviek vyhlasovateľa na predmet zákazky. Pre overiteľnosť parametrov navrhovateľ uvedie </w:t>
      </w:r>
      <w:proofErr w:type="spellStart"/>
      <w:r>
        <w:rPr>
          <w:rFonts w:cs="Calibri"/>
        </w:rPr>
        <w:t>link</w:t>
      </w:r>
      <w:proofErr w:type="spellEnd"/>
      <w:r>
        <w:rPr>
          <w:rFonts w:cs="Calibri"/>
        </w:rPr>
        <w:t xml:space="preserve"> /predloží technický list/ resp. si zvolí akýkoľvek iný spôsob preukázanie sp</w:t>
      </w:r>
      <w:r>
        <w:rPr>
          <w:rFonts w:cs="Calibri"/>
        </w:rPr>
        <w:t>lnenie požiadaviek na predmet zákazky.</w:t>
      </w:r>
    </w:p>
    <w:p w:rsidR="008D3A46" w:rsidRDefault="00660B62" w14:paraId="51E7EFB3" w14:textId="77777777">
      <w:pPr>
        <w:pStyle w:val="Nadpis2"/>
      </w:pPr>
      <w:bookmarkStart w:name="_Hlk104808027" w:id="2"/>
      <w:r>
        <w:t>Zariadenie na výrobu vodíka (PEM)</w:t>
      </w:r>
      <w:bookmarkEnd w:id="2"/>
    </w:p>
    <w:tbl>
      <w:tblPr>
        <w:tblW w:w="96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2786"/>
        <w:gridCol w:w="2410"/>
        <w:gridCol w:w="2409"/>
      </w:tblGrid>
      <w:tr w:rsidR="008D3A46" w:rsidTr="5B09FF94" w14:paraId="51E7EFB8" w14:textId="77777777">
        <w:tblPrEx>
          <w:tblCellMar>
            <w:top w:w="0" w:type="dxa"/>
            <w:bottom w:w="0" w:type="dxa"/>
          </w:tblCellMar>
        </w:tblPrEx>
        <w:trPr>
          <w:trHeight w:val="240"/>
          <w:tblHeader/>
        </w:trPr>
        <w:tc>
          <w:tcPr>
            <w:tcW w:w="20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B4" w14:textId="77777777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Popis </w:t>
            </w:r>
          </w:p>
        </w:tc>
        <w:tc>
          <w:tcPr>
            <w:tcW w:w="2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B5" w14:textId="77777777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Hodnota/Rozsah/Parameter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B6" w14:textId="77777777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Poznámka </w:t>
            </w:r>
          </w:p>
        </w:tc>
        <w:tc>
          <w:tcPr>
            <w:tcW w:w="24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660B62" w14:paraId="51E7EFB7" w14:textId="77777777"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Vlastný návrh navrhovateľa </w:t>
            </w:r>
          </w:p>
        </w:tc>
      </w:tr>
      <w:tr w:rsidR="008D3A46" w:rsidTr="5B09FF94" w14:paraId="51E7EFBE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B9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Typ</w:t>
            </w:r>
          </w:p>
        </w:tc>
        <w:tc>
          <w:tcPr>
            <w:tcW w:w="2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BA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Typ: PEM (Polymér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cs-CZ"/>
              </w:rPr>
              <w:t>Electrolyte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cs-CZ"/>
              </w:rPr>
              <w:t>Membrane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 – elektrolýza s polymérovou membránou)</w:t>
            </w:r>
          </w:p>
          <w:p w:rsidR="008D3A46" w:rsidRDefault="008D3A46" w14:paraId="51E7EFBB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EFBC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EFBD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:rsidTr="5B09FF94" w14:paraId="51E7EFC3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BF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Prevedenie </w:t>
            </w:r>
          </w:p>
        </w:tc>
        <w:tc>
          <w:tcPr>
            <w:tcW w:w="2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C0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Kontajnerové,</w:t>
            </w:r>
            <w:r>
              <w:rPr>
                <w:rFonts w:cs="Calibri"/>
                <w:sz w:val="20"/>
                <w:szCs w:val="20"/>
              </w:rPr>
              <w:t xml:space="preserve"> kompletne zmontované, odskúšané, pre prepravu po ceste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EFC1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EFC2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:rsidTr="5B09FF94" w14:paraId="51E7EFC8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C4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Počet</w:t>
            </w:r>
          </w:p>
        </w:tc>
        <w:tc>
          <w:tcPr>
            <w:tcW w:w="2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C5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ks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EFC6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EFC7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:rsidTr="5B09FF94" w14:paraId="51E7EFCD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C9" w14:textId="77777777">
            <w:r>
              <w:rPr>
                <w:rStyle w:val="Standardnpsmoodstavce"/>
                <w:rFonts w:cs="Calibri"/>
                <w:sz w:val="20"/>
                <w:szCs w:val="20"/>
              </w:rPr>
              <w:t>Maximálny príkon zariadenia</w:t>
            </w:r>
          </w:p>
        </w:tc>
        <w:tc>
          <w:tcPr>
            <w:tcW w:w="2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CA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1,0 MW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EFCB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EFCC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:rsidTr="5B09FF94" w14:paraId="51E7EFD2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CE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Príkon zariadenia - šírka rozsahu </w:t>
            </w:r>
          </w:p>
        </w:tc>
        <w:tc>
          <w:tcPr>
            <w:tcW w:w="2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CF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 – 100 %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D0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Minimálna požadovaná šírka rozsahu je 10 – 100 %. Upraviť sa môže len znížením dolnej hranice </w:t>
            </w:r>
            <w:r>
              <w:rPr>
                <w:rFonts w:cs="Calibri"/>
                <w:sz w:val="20"/>
                <w:szCs w:val="20"/>
              </w:rPr>
              <w:t>rozsahu – rozšírenie rozsahu. </w:t>
            </w:r>
          </w:p>
        </w:tc>
        <w:tc>
          <w:tcPr>
            <w:tcW w:w="24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EFD1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:rsidTr="5B09FF94" w14:paraId="51E7EFD7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D3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Výstupný tlak H2 v primárnej výrobe</w:t>
            </w:r>
          </w:p>
        </w:tc>
        <w:tc>
          <w:tcPr>
            <w:tcW w:w="2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D4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Min.30 bar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D5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V prípade, že bude tlak menší, bude potrebné </w:t>
            </w:r>
            <w:r>
              <w:rPr>
                <w:rFonts w:cs="Calibri"/>
                <w:sz w:val="20"/>
                <w:szCs w:val="20"/>
              </w:rPr>
              <w:lastRenderedPageBreak/>
              <w:t xml:space="preserve">navrhnúť a použiť </w:t>
            </w:r>
            <w:proofErr w:type="spellStart"/>
            <w:r>
              <w:rPr>
                <w:rFonts w:cs="Calibri"/>
                <w:sz w:val="20"/>
                <w:szCs w:val="20"/>
              </w:rPr>
              <w:t>booster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kompresor. </w:t>
            </w:r>
          </w:p>
        </w:tc>
        <w:tc>
          <w:tcPr>
            <w:tcW w:w="24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EFD6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:rsidTr="5B09FF94" w14:paraId="51E7EFDD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D8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Množstvo vyrobeného H2</w:t>
            </w:r>
          </w:p>
          <w:p w:rsidR="008D3A46" w:rsidRDefault="00660B62" w14:paraId="51E7EFD9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(kg H2/deň) pri 100 % výkonu </w:t>
            </w:r>
          </w:p>
        </w:tc>
        <w:tc>
          <w:tcPr>
            <w:tcW w:w="2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DA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Min. 400kg / deň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EFDB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EFDC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5B09FF94" w:rsidTr="5B09FF94" w14:paraId="0CF3E467">
        <w:trPr>
          <w:trHeight w:val="240"/>
        </w:trPr>
        <w:tblPrEx>
          <w:tblCellMar>
            <w:top w:w="0" w:type="dxa"/>
            <w:bottom w:w="0" w:type="dxa"/>
          </w:tblCellMar>
        </w:tblPrEx>
        <w:tc>
          <w:tcPr>
            <w:tcW w:w="20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6BA17B66" w:rsidP="5B09FF94" w:rsidRDefault="6BA17B66" w14:paraId="6F2B814E" w14:textId="598B8A30">
            <w:pPr>
              <w:pStyle w:val="Normlny"/>
              <w:rPr>
                <w:rFonts w:cs="Calibri"/>
                <w:sz w:val="20"/>
                <w:szCs w:val="20"/>
              </w:rPr>
            </w:pPr>
            <w:r w:rsidRPr="5B09FF94" w:rsidR="6BA17B66">
              <w:rPr>
                <w:rFonts w:cs="Calibri"/>
                <w:sz w:val="20"/>
                <w:szCs w:val="20"/>
              </w:rPr>
              <w:t>Kvalita H2</w:t>
            </w:r>
          </w:p>
        </w:tc>
        <w:tc>
          <w:tcPr>
            <w:tcW w:w="2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6BA17B66" w:rsidP="5B09FF94" w:rsidRDefault="6BA17B66" w14:paraId="15A6D7F1" w14:textId="221B87F3">
            <w:pPr>
              <w:pStyle w:val="Normlny"/>
            </w:pPr>
            <w:r w:rsidRPr="5B09FF94" w:rsidR="6BA17B66">
              <w:rPr>
                <w:rFonts w:ascii="Calibri" w:hAnsi="Calibri" w:eastAsia="Calibri" w:cs="Calibri"/>
                <w:noProof w:val="0"/>
                <w:sz w:val="20"/>
                <w:szCs w:val="20"/>
                <w:lang w:val="sk-SK"/>
              </w:rPr>
              <w:t>99,97 % (molárne)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6BA17B66" w:rsidP="5B09FF94" w:rsidRDefault="6BA17B66" w14:paraId="46085640" w14:textId="35D57CAF">
            <w:pPr>
              <w:pStyle w:val="Normlny"/>
            </w:pPr>
            <w:r w:rsidRPr="5B09FF94" w:rsidR="6BA17B66">
              <w:rPr>
                <w:rFonts w:ascii="Calibri" w:hAnsi="Calibri" w:eastAsia="Calibri" w:cs="Calibri"/>
                <w:noProof w:val="0"/>
                <w:sz w:val="20"/>
                <w:szCs w:val="20"/>
                <w:lang w:val="sk-SK"/>
              </w:rPr>
              <w:t>ISO 14687</w:t>
            </w:r>
          </w:p>
        </w:tc>
        <w:tc>
          <w:tcPr>
            <w:tcW w:w="24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5B09FF94" w:rsidP="5B09FF94" w:rsidRDefault="5B09FF94" w14:paraId="65386F19" w14:textId="50CD595F">
            <w:pPr>
              <w:pStyle w:val="Normlny"/>
              <w:rPr>
                <w:rFonts w:cs="Calibri"/>
                <w:sz w:val="20"/>
                <w:szCs w:val="20"/>
              </w:rPr>
            </w:pPr>
          </w:p>
        </w:tc>
      </w:tr>
      <w:tr w:rsidR="008D3A46" w:rsidTr="5B09FF94" w14:paraId="51E7EFE2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DE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Výstupný tlak – </w:t>
            </w:r>
            <w:r>
              <w:rPr>
                <w:rFonts w:cs="Calibri"/>
                <w:sz w:val="20"/>
                <w:szCs w:val="20"/>
              </w:rPr>
              <w:t>O2 </w:t>
            </w:r>
          </w:p>
        </w:tc>
        <w:tc>
          <w:tcPr>
            <w:tcW w:w="2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DF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bar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E0" w14:textId="77777777">
            <w:pPr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Atmosferický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tlak </w:t>
            </w:r>
          </w:p>
        </w:tc>
        <w:tc>
          <w:tcPr>
            <w:tcW w:w="24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EFE1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:rsidTr="5B09FF94" w14:paraId="51E7EFE7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E3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Dostupnosť/Spoľahlivosť zariadenia </w:t>
            </w:r>
          </w:p>
        </w:tc>
        <w:tc>
          <w:tcPr>
            <w:tcW w:w="2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E4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95 %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E5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Zariadenie musí byť schopné minimálne 8322 hodín nepretržitej prevádzky počas 1 roka (revízie a pravidelná údržba).  </w:t>
            </w:r>
          </w:p>
        </w:tc>
        <w:tc>
          <w:tcPr>
            <w:tcW w:w="24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EFE6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:rsidTr="5B09FF94" w14:paraId="51E7EFED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E8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Účinnosť zariadenia </w:t>
            </w:r>
          </w:p>
        </w:tc>
        <w:tc>
          <w:tcPr>
            <w:tcW w:w="2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E9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  %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EA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Účinnosť samotného zariadenia na vý</w:t>
            </w:r>
            <w:r>
              <w:rPr>
                <w:rFonts w:cs="Calibri"/>
                <w:sz w:val="20"/>
                <w:szCs w:val="20"/>
              </w:rPr>
              <w:t>robu vodíka. </w:t>
            </w:r>
          </w:p>
          <w:p w:rsidR="008D3A46" w:rsidRDefault="00660B62" w14:paraId="51E7EFEB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Účinnosť zariadenia sa vypočíta ako podiel elektrickej energie na membráne ku celkovo spotrebovanej energie. Vlastná spotreba systému generovania vodíka nesmie prekročiť 30 % spotrebovanej elektrickej energie. </w:t>
            </w:r>
          </w:p>
        </w:tc>
        <w:tc>
          <w:tcPr>
            <w:tcW w:w="24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EFEC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:rsidTr="5B09FF94" w14:paraId="51E7EFF2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EE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Čas nábehu – horúci nábeh </w:t>
            </w:r>
          </w:p>
        </w:tc>
        <w:tc>
          <w:tcPr>
            <w:tcW w:w="2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EF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Max. 30 s, </w:t>
            </w:r>
            <w:proofErr w:type="spellStart"/>
            <w:r>
              <w:rPr>
                <w:rFonts w:cs="Calibri"/>
                <w:sz w:val="20"/>
                <w:szCs w:val="20"/>
              </w:rPr>
              <w:t>lineárný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priebeh, vrátane reakcie na zmenu </w:t>
            </w:r>
            <w:proofErr w:type="spellStart"/>
            <w:r>
              <w:rPr>
                <w:rFonts w:cs="Calibri"/>
                <w:sz w:val="20"/>
                <w:szCs w:val="20"/>
              </w:rPr>
              <w:t>žádanej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hodnoty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F0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Nábeh z Minimálneho výkonu na maximálny – doba plnej aktivácie od prvého povelu SEPS</w:t>
            </w:r>
          </w:p>
        </w:tc>
        <w:tc>
          <w:tcPr>
            <w:tcW w:w="24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EFF1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:rsidTr="5B09FF94" w14:paraId="51E7EFF7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F3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Spotreba vody </w:t>
            </w:r>
          </w:p>
        </w:tc>
        <w:tc>
          <w:tcPr>
            <w:tcW w:w="2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F4" w14:textId="77777777"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Max. 400 liter / h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F5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Pri maximálnom výkone</w:t>
            </w:r>
          </w:p>
        </w:tc>
        <w:tc>
          <w:tcPr>
            <w:tcW w:w="24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EFF6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:rsidTr="5B09FF94" w14:paraId="51E7EFFC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F8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Kvalita vody </w:t>
            </w:r>
          </w:p>
        </w:tc>
        <w:tc>
          <w:tcPr>
            <w:tcW w:w="2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F9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Pitná voda (systém musí u</w:t>
            </w:r>
            <w:r>
              <w:rPr>
                <w:rFonts w:cs="Calibri"/>
                <w:sz w:val="20"/>
                <w:szCs w:val="20"/>
              </w:rPr>
              <w:t>možňovať použitie pitnej vody, bez dodatočného čistenia, resp. čistenie vody si musí zabezpečiť ak to zariadenie vyžaduje)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FA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Podľa EU </w:t>
            </w:r>
            <w:proofErr w:type="spellStart"/>
            <w:r>
              <w:rPr>
                <w:rFonts w:cs="Calibri"/>
                <w:sz w:val="20"/>
                <w:szCs w:val="20"/>
              </w:rPr>
              <w:t>Directive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2020/2184-EU </w:t>
            </w:r>
          </w:p>
        </w:tc>
        <w:tc>
          <w:tcPr>
            <w:tcW w:w="24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EFFB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:rsidTr="5B09FF94" w14:paraId="51E7F001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FD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Napájanie – elektrolýza </w:t>
            </w:r>
          </w:p>
        </w:tc>
        <w:tc>
          <w:tcPr>
            <w:tcW w:w="2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FE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 x 400 ... 1000 V / 50 Hz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EFFF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Max. 1000 VAC </w:t>
            </w:r>
          </w:p>
        </w:tc>
        <w:tc>
          <w:tcPr>
            <w:tcW w:w="24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00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:rsidTr="5B09FF94" w14:paraId="51E7F006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02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Napájanie – ostatné </w:t>
            </w:r>
          </w:p>
        </w:tc>
        <w:tc>
          <w:tcPr>
            <w:tcW w:w="2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03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3 x </w:t>
            </w:r>
            <w:r>
              <w:rPr>
                <w:rFonts w:cs="Calibri"/>
                <w:sz w:val="20"/>
                <w:szCs w:val="20"/>
              </w:rPr>
              <w:t>400 V / 50 Hz (max. 250 kW)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04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Podľa STN IEC 60038 </w:t>
            </w:r>
          </w:p>
        </w:tc>
        <w:tc>
          <w:tcPr>
            <w:tcW w:w="24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05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:rsidTr="5B09FF94" w14:paraId="51E7F00B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07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Rozmery zariadenia </w:t>
            </w:r>
          </w:p>
        </w:tc>
        <w:tc>
          <w:tcPr>
            <w:tcW w:w="2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08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13.2 x 4.0 x 5.7 m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09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Prípustné sú také rozmery, ktoré neovplyvnia stavebné konanie </w:t>
            </w:r>
          </w:p>
        </w:tc>
        <w:tc>
          <w:tcPr>
            <w:tcW w:w="24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0A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:rsidTr="5B09FF94" w14:paraId="51E7F010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0C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Životnosť (</w:t>
            </w:r>
            <w:proofErr w:type="spellStart"/>
            <w:r>
              <w:rPr>
                <w:rFonts w:cs="Calibri"/>
                <w:sz w:val="20"/>
                <w:szCs w:val="20"/>
              </w:rPr>
              <w:t>t.j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. obdobie bez potreby výmeny </w:t>
            </w:r>
            <w:proofErr w:type="spellStart"/>
            <w:r>
              <w:rPr>
                <w:rFonts w:cs="Calibri"/>
                <w:sz w:val="20"/>
                <w:szCs w:val="20"/>
              </w:rPr>
              <w:t>stacku</w:t>
            </w:r>
            <w:proofErr w:type="spellEnd"/>
            <w:r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7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0D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Min. 80000 h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0E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Prevádzkových hodín – zariadenie </w:t>
            </w:r>
            <w:r>
              <w:rPr>
                <w:rFonts w:cs="Calibri"/>
                <w:sz w:val="20"/>
                <w:szCs w:val="20"/>
              </w:rPr>
              <w:t xml:space="preserve">je na výkone. Stav pohotovosti pre horúci nábeh sa nezapočítava do prevádzkových hodín. </w:t>
            </w:r>
            <w:r>
              <w:rPr>
                <w:rFonts w:cs="Calibri"/>
                <w:sz w:val="20"/>
                <w:szCs w:val="20"/>
              </w:rPr>
              <w:lastRenderedPageBreak/>
              <w:t>Počítadlo prevádzkových hodín je súčasťou dodávky. </w:t>
            </w:r>
          </w:p>
        </w:tc>
        <w:tc>
          <w:tcPr>
            <w:tcW w:w="24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0F" w14:textId="77777777">
            <w:pPr>
              <w:rPr>
                <w:rFonts w:cs="Calibri"/>
                <w:sz w:val="20"/>
                <w:szCs w:val="20"/>
              </w:rPr>
            </w:pPr>
          </w:p>
        </w:tc>
      </w:tr>
    </w:tbl>
    <w:p w:rsidR="008D3A46" w:rsidRDefault="008D3A46" w14:paraId="51E7F011" w14:textId="77777777">
      <w:pPr>
        <w:rPr>
          <w:rFonts w:cs="Calibri"/>
          <w:sz w:val="20"/>
          <w:szCs w:val="20"/>
        </w:rPr>
      </w:pPr>
    </w:p>
    <w:p w:rsidR="008D3A46" w:rsidRDefault="00660B62" w14:paraId="51E7F012" w14:textId="77777777">
      <w:pPr>
        <w:pStyle w:val="Nadpis2"/>
      </w:pPr>
      <w:r>
        <w:t>Strednotlaký zdrojový Medzizásobník</w:t>
      </w:r>
    </w:p>
    <w:tbl>
      <w:tblPr>
        <w:tblW w:w="96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2786"/>
        <w:gridCol w:w="2410"/>
        <w:gridCol w:w="2409"/>
      </w:tblGrid>
      <w:tr w:rsidR="008D3A46" w14:paraId="51E7F017" w14:textId="77777777">
        <w:tblPrEx>
          <w:tblCellMar>
            <w:top w:w="0" w:type="dxa"/>
            <w:bottom w:w="0" w:type="dxa"/>
          </w:tblCellMar>
        </w:tblPrEx>
        <w:trPr>
          <w:trHeight w:val="240"/>
          <w:tblHeader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13" w14:textId="77777777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Popis 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14" w14:textId="77777777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Hodnota/Rozsah/Parameter 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15" w14:textId="77777777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Poznámka </w:t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660B62" w14:paraId="51E7F016" w14:textId="77777777"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Vlastný návrh navrhovateľa </w:t>
            </w:r>
          </w:p>
        </w:tc>
      </w:tr>
      <w:tr w:rsidR="008D3A46" w14:paraId="51E7F01C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18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Kapacita 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19" w14:textId="77777777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350 – 600 kg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F01A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1B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21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1D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Najnižší pracovný pretlak 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1E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Min. 200 bar (g)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F01F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20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26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22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Počet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23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 ks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F024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25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2B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27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Typ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28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Horizontálne, nadzemné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F029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2A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30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2C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Pracovné médium 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2D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Plynný vodík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F02E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2F" w14:textId="77777777">
            <w:pPr>
              <w:rPr>
                <w:rFonts w:cs="Calibri"/>
                <w:sz w:val="20"/>
                <w:szCs w:val="20"/>
              </w:rPr>
            </w:pPr>
          </w:p>
        </w:tc>
      </w:tr>
    </w:tbl>
    <w:p w:rsidR="008D3A46" w:rsidRDefault="008D3A46" w14:paraId="51E7F031" w14:textId="77777777">
      <w:pPr>
        <w:rPr>
          <w:rFonts w:cs="Calibri"/>
          <w:sz w:val="20"/>
          <w:szCs w:val="20"/>
        </w:rPr>
      </w:pPr>
    </w:p>
    <w:p w:rsidR="008D3A46" w:rsidRDefault="00660B62" w14:paraId="51E7F032" w14:textId="77777777">
      <w:pPr>
        <w:pStyle w:val="Nadpis2"/>
      </w:pPr>
      <w:r>
        <w:t>Kompresná časť</w:t>
      </w:r>
    </w:p>
    <w:tbl>
      <w:tblPr>
        <w:tblW w:w="96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2786"/>
        <w:gridCol w:w="2410"/>
        <w:gridCol w:w="2409"/>
      </w:tblGrid>
      <w:tr w:rsidR="008D3A46" w14:paraId="51E7F037" w14:textId="77777777">
        <w:tblPrEx>
          <w:tblCellMar>
            <w:top w:w="0" w:type="dxa"/>
            <w:bottom w:w="0" w:type="dxa"/>
          </w:tblCellMar>
        </w:tblPrEx>
        <w:trPr>
          <w:trHeight w:val="240"/>
          <w:tblHeader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33" w14:textId="77777777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Popis 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34" w14:textId="77777777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Hodnota/Rozsah/Parameter 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35" w14:textId="77777777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Poznámka </w:t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660B62" w14:paraId="51E7F036" w14:textId="77777777"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Vlastný návrh navrhovateľa </w:t>
            </w:r>
          </w:p>
        </w:tc>
      </w:tr>
      <w:tr w:rsidR="008D3A46" w14:paraId="51E7F03C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38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Prevedenie 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39" w14:textId="77777777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Kontajnerové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F03A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3B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41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3D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Min. zloženie 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3E" w14:textId="77777777">
            <w:r>
              <w:rPr>
                <w:rStyle w:val="normaltextrun"/>
                <w:sz w:val="20"/>
                <w:szCs w:val="20"/>
              </w:rPr>
              <w:t xml:space="preserve">Kompresorový blok, kotvenie, armatúry, potrubné trasy, </w:t>
            </w:r>
            <w:proofErr w:type="spellStart"/>
            <w:r>
              <w:rPr>
                <w:rStyle w:val="normaltextrun"/>
                <w:sz w:val="20"/>
                <w:szCs w:val="20"/>
              </w:rPr>
              <w:t>atď</w:t>
            </w:r>
            <w:proofErr w:type="spellEnd"/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F03F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40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46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42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Počet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43" w14:textId="77777777">
            <w:r>
              <w:t>1ks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F044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45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4B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47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Typ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48" w14:textId="77777777">
            <w:pPr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Vysokotlaký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kompresor 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F049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4A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50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4C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Plniaci tlak pre čerpanie vodíka do vozidiel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4D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350 bar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F04E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4F" w14:textId="77777777">
            <w:pPr>
              <w:rPr>
                <w:rFonts w:cs="Calibri"/>
                <w:sz w:val="20"/>
                <w:szCs w:val="20"/>
              </w:rPr>
            </w:pPr>
          </w:p>
        </w:tc>
      </w:tr>
    </w:tbl>
    <w:p w:rsidR="008D3A46" w:rsidRDefault="008D3A46" w14:paraId="51E7F051" w14:textId="77777777">
      <w:pPr>
        <w:rPr>
          <w:rFonts w:cs="Calibri"/>
          <w:sz w:val="20"/>
          <w:szCs w:val="20"/>
        </w:rPr>
      </w:pPr>
    </w:p>
    <w:p w:rsidR="008D3A46" w:rsidRDefault="00660B62" w14:paraId="51E7F052" w14:textId="77777777">
      <w:pPr>
        <w:pStyle w:val="Nadpis2"/>
      </w:pPr>
      <w:r>
        <w:t>vysokotlaký zásobník</w:t>
      </w:r>
    </w:p>
    <w:tbl>
      <w:tblPr>
        <w:tblW w:w="96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2786"/>
        <w:gridCol w:w="2410"/>
        <w:gridCol w:w="2409"/>
      </w:tblGrid>
      <w:tr w:rsidR="008D3A46" w14:paraId="51E7F057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53" w14:textId="77777777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Popis 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54" w14:textId="77777777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Hodnota/Rozsah/Parameter 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55" w14:textId="77777777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Poznámka </w:t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660B62" w14:paraId="51E7F056" w14:textId="77777777"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Vlastný návrh navrhovateľa </w:t>
            </w:r>
          </w:p>
        </w:tc>
      </w:tr>
      <w:tr w:rsidR="008D3A46" w14:paraId="51E7F05C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58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Prevádzkový tlak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59" w14:textId="77777777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až 500 bar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F05A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5B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61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5D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Maximálny tlak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5E" w14:textId="77777777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550 bar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F05F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60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66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62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Min. zloženie 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63" w14:textId="77777777">
            <w:r>
              <w:rPr>
                <w:rStyle w:val="normaltextrun"/>
                <w:sz w:val="20"/>
                <w:szCs w:val="20"/>
              </w:rPr>
              <w:t xml:space="preserve">Kompresorový blok, kotvenie, armatúry, potrubné trasy, </w:t>
            </w:r>
            <w:proofErr w:type="spellStart"/>
            <w:r>
              <w:rPr>
                <w:rStyle w:val="normaltextrun"/>
                <w:sz w:val="20"/>
                <w:szCs w:val="20"/>
              </w:rPr>
              <w:t>atď</w:t>
            </w:r>
            <w:proofErr w:type="spellEnd"/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F064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65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6B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67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Počet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68" w14:textId="77777777">
            <w:r>
              <w:t>1 ks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F069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6A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70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6C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Typ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6D" w14:textId="77777777">
            <w:pPr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Vysokotlaký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, viac tlakových sekcií 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F06E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6F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75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71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Plniaci tlak pre čerpanie vodíka </w:t>
            </w:r>
            <w:r>
              <w:rPr>
                <w:rFonts w:cs="Calibri"/>
                <w:sz w:val="20"/>
                <w:szCs w:val="20"/>
              </w:rPr>
              <w:t>do vozidiel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72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350 bar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F073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74" w14:textId="77777777">
            <w:pPr>
              <w:rPr>
                <w:rFonts w:cs="Calibri"/>
                <w:sz w:val="20"/>
                <w:szCs w:val="20"/>
              </w:rPr>
            </w:pPr>
          </w:p>
        </w:tc>
      </w:tr>
    </w:tbl>
    <w:p w:rsidR="008D3A46" w:rsidRDefault="008D3A46" w14:paraId="51E7F076" w14:textId="77777777">
      <w:pPr>
        <w:rPr>
          <w:rFonts w:cs="Calibri"/>
          <w:sz w:val="20"/>
          <w:szCs w:val="20"/>
        </w:rPr>
      </w:pPr>
    </w:p>
    <w:p w:rsidR="008D3A46" w:rsidRDefault="00660B62" w14:paraId="51E7F077" w14:textId="77777777">
      <w:pPr>
        <w:pStyle w:val="Nadpis2"/>
      </w:pPr>
      <w:r>
        <w:lastRenderedPageBreak/>
        <w:t>Plniaca infraštruktúra</w:t>
      </w:r>
    </w:p>
    <w:tbl>
      <w:tblPr>
        <w:tblW w:w="96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2786"/>
        <w:gridCol w:w="2410"/>
        <w:gridCol w:w="2409"/>
      </w:tblGrid>
      <w:tr w:rsidR="008D3A46" w14:paraId="51E7F07C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78" w14:textId="77777777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Popis 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79" w14:textId="77777777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Hodnota/Rozsah/Parameter 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7A" w14:textId="77777777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Poznámka </w:t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660B62" w14:paraId="51E7F07B" w14:textId="77777777"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Vlastný návrh navrhovateľa </w:t>
            </w:r>
          </w:p>
        </w:tc>
      </w:tr>
      <w:tr w:rsidR="008D3A46" w14:paraId="51E7F081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7D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Koncovka 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7E" w14:textId="77777777">
            <w:pPr>
              <w:jc w:val="both"/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1ks koncovka pre autobusy a nákladné vozidlá s prevádzkovým plniacim tlakom 350 bar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F07F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80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86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82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Výkon zariadenia 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83" w14:textId="77777777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Min. 45g H2/s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F084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85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8B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87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Kvalita H2 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88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99,97 % (</w:t>
            </w:r>
            <w:proofErr w:type="spellStart"/>
            <w:r>
              <w:rPr>
                <w:rFonts w:cs="Calibri"/>
                <w:sz w:val="20"/>
                <w:szCs w:val="20"/>
              </w:rPr>
              <w:t>molárne</w:t>
            </w:r>
            <w:proofErr w:type="spellEnd"/>
            <w:r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89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Podľa (ISO 14687)</w:t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8A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90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8C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Okolitá prevádzková teplota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8D" w14:textId="77777777">
            <w:r>
              <w:rPr>
                <w:rFonts w:cs="Calibri"/>
                <w:sz w:val="20"/>
                <w:szCs w:val="20"/>
              </w:rPr>
              <w:t>-20/ + 40</w:t>
            </w:r>
            <w:r>
              <w:rPr>
                <w:rStyle w:val="normaltextrun"/>
                <w:rFonts w:cs="Calibri"/>
                <w:color w:val="000000"/>
                <w:sz w:val="20"/>
                <w:szCs w:val="20"/>
              </w:rPr>
              <w:t xml:space="preserve"> °C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F08E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8F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95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91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Počet stojanov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92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ks /plniaca infraštruktúra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F093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94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9A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96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Typ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97" w14:textId="77777777">
            <w:pPr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Vysokotlaký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, viac tlakových sekcií 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F098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99" w14:textId="77777777">
            <w:pPr>
              <w:rPr>
                <w:rFonts w:cs="Calibri"/>
                <w:sz w:val="20"/>
                <w:szCs w:val="20"/>
              </w:rPr>
            </w:pPr>
          </w:p>
        </w:tc>
      </w:tr>
      <w:tr w:rsidR="008D3A46" w14:paraId="51E7F09F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9B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Plniaci tlak pre čerpanie vodíka do vozidiel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660B62" w14:paraId="51E7F09C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350 bar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A46" w:rsidRDefault="008D3A46" w14:paraId="51E7F09D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9E" w14:textId="77777777">
            <w:pPr>
              <w:rPr>
                <w:rFonts w:cs="Calibri"/>
                <w:sz w:val="20"/>
                <w:szCs w:val="20"/>
              </w:rPr>
            </w:pPr>
          </w:p>
        </w:tc>
      </w:tr>
    </w:tbl>
    <w:p w:rsidR="008D3A46" w:rsidRDefault="008D3A46" w14:paraId="51E7F0A0" w14:textId="77777777">
      <w:pPr>
        <w:rPr>
          <w:rFonts w:cs="Calibri"/>
          <w:sz w:val="20"/>
          <w:szCs w:val="20"/>
        </w:rPr>
      </w:pPr>
    </w:p>
    <w:p w:rsidR="008D3A46" w:rsidRDefault="00660B62" w14:paraId="51E7F0A1" w14:textId="77777777">
      <w:pPr>
        <w:pStyle w:val="Nadpis1"/>
      </w:pPr>
      <w:r>
        <w:t xml:space="preserve">ČASŤ – </w:t>
      </w:r>
      <w:r>
        <w:t>VÝKONNOSTNÉ PARAMETRE</w:t>
      </w:r>
    </w:p>
    <w:p w:rsidR="008D3A46" w:rsidRDefault="00660B62" w14:paraId="51E7F0A2" w14:textId="77777777">
      <w:pPr>
        <w:jc w:val="both"/>
      </w:pPr>
      <w:r>
        <w:rPr>
          <w:rFonts w:cs="Calibri"/>
        </w:rPr>
        <w:t xml:space="preserve">Výkonnostné parametre s garantovanými hodnotami sú pre navrhovateľa  záväzné a pre verejného obstarávateľa kľúčové a nie je možné sa pri návrhu a realizácií od nich odchýliť. </w:t>
      </w:r>
      <w:r>
        <w:rPr>
          <w:rFonts w:cs="Calibri"/>
          <w:u w:val="single"/>
        </w:rPr>
        <w:t>Riešenie s lepšími parametrami sa pripúšťa.</w:t>
      </w:r>
    </w:p>
    <w:p w:rsidR="008D3A46" w:rsidRDefault="00660B62" w14:paraId="51E7F0A3" w14:textId="77777777">
      <w:pPr>
        <w:pStyle w:val="Nadpis2"/>
      </w:pPr>
      <w:r>
        <w:t>Garantované hod</w:t>
      </w:r>
      <w:r>
        <w:t xml:space="preserve">noty Vodíkového hospodárstva </w:t>
      </w:r>
    </w:p>
    <w:p w:rsidR="008D3A46" w:rsidRDefault="00660B62" w14:paraId="51E7F0A4" w14:textId="77777777">
      <w:pPr>
        <w:jc w:val="both"/>
        <w:rPr>
          <w:rFonts w:cs="Calibri"/>
        </w:rPr>
      </w:pPr>
      <w:r>
        <w:rPr>
          <w:rFonts w:cs="Calibri"/>
        </w:rPr>
        <w:t xml:space="preserve">Navrhovateľ uvedie garanciu na dosiahnutie hodnôt jednotlivých ním navrhnutých technologických zariadení podľa nasledujúcich tabuliek. Tieto hodnoty sú požadované verejným obstarávateľom budú tiež overené garančnými meraniami </w:t>
      </w:r>
      <w:r>
        <w:rPr>
          <w:rFonts w:cs="Calibri"/>
        </w:rPr>
        <w:t xml:space="preserve"> pred  odovzdaním diela a skúšobnou prevádzkou vodíkového hospodárstva.</w:t>
      </w:r>
    </w:p>
    <w:p w:rsidR="008D3A46" w:rsidRDefault="00660B62" w14:paraId="51E7F0A5" w14:textId="77777777">
      <w:pPr>
        <w:overflowPunct w:val="0"/>
        <w:autoSpaceDE w:val="0"/>
        <w:spacing w:before="120" w:after="0"/>
        <w:jc w:val="both"/>
      </w:pPr>
      <w:r>
        <w:rPr>
          <w:rFonts w:cs="Calibri"/>
          <w:sz w:val="20"/>
          <w:szCs w:val="20"/>
        </w:rPr>
        <w:t>Tabuľka garantovaných hodnôt zariadenia na výrobu vodíka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712"/>
        <w:gridCol w:w="2674"/>
      </w:tblGrid>
      <w:tr w:rsidR="008D3A46" w14:paraId="51E7F0AA" w14:textId="77777777">
        <w:tblPrEx>
          <w:tblCellMar>
            <w:top w:w="0" w:type="dxa"/>
            <w:bottom w:w="0" w:type="dxa"/>
          </w:tblCellMar>
        </w:tblPrEx>
        <w:trPr>
          <w:trHeight w:val="249"/>
          <w:tblHeader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A6" w14:textId="77777777">
            <w:pPr>
              <w:spacing w:after="0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A7" w14:textId="77777777">
            <w:pPr>
              <w:spacing w:after="0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cs-CZ"/>
              </w:rPr>
              <w:t>Hodnota/Rozsah/Para-meter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A8" w14:textId="77777777">
            <w:pPr>
              <w:spacing w:after="0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cs-CZ"/>
              </w:rPr>
              <w:t>Poznámka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660B62" w14:paraId="51E7F0A9" w14:textId="77777777">
            <w:pPr>
              <w:spacing w:after="0"/>
            </w:pPr>
            <w:r>
              <w:rPr>
                <w:rFonts w:eastAsia="Times New Roman" w:cs="Calibri"/>
                <w:b/>
                <w:color w:val="FF0000"/>
                <w:sz w:val="20"/>
                <w:szCs w:val="20"/>
                <w:lang w:eastAsia="cs-CZ"/>
              </w:rPr>
              <w:t>Hodnoty garantované navrhovateľom</w:t>
            </w:r>
          </w:p>
        </w:tc>
      </w:tr>
      <w:tr w:rsidR="008D3A46" w14:paraId="51E7F0AF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AB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Príkon zariadenia - šírka rozsahu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AC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10 – 100 %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AD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Minimálna požadovaná šírka rozsahu je 10 – 100 %. Upraviť sa môže len znížením dolnej hranice rozsahu – rozšírenie rozsahu.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AE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8D3A46" w14:paraId="51E7F0B4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B0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Množstvo vyrobeného H2 (kg H2/h) pri 100 % výkonu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B1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Min. 400 kg H2/deň 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B2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Pri maximálnom výkone zariadenia 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B3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8D3A46" w14:paraId="51E7F0B9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B5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Kvalita H2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B6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99,97 % </w:t>
            </w:r>
            <w:r>
              <w:rPr>
                <w:rFonts w:eastAsia="Times New Roman" w:cs="Calibri"/>
                <w:sz w:val="20"/>
                <w:szCs w:val="20"/>
                <w:lang w:eastAsia="cs-CZ"/>
              </w:rPr>
              <w:t>(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cs-CZ"/>
              </w:rPr>
              <w:t>molárne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B7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ISO 14687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B8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</w:tbl>
    <w:p w:rsidR="008D3A46" w:rsidRDefault="008D3A46" w14:paraId="51E7F0BA" w14:textId="77777777">
      <w:pPr>
        <w:suppressAutoHyphens w:val="0"/>
        <w:rPr>
          <w:rFonts w:cs="Calibri"/>
          <w:sz w:val="20"/>
          <w:szCs w:val="20"/>
        </w:rPr>
      </w:pPr>
    </w:p>
    <w:p w:rsidR="008D3A46" w:rsidRDefault="00660B62" w14:paraId="51E7F0BB" w14:textId="77777777">
      <w:pPr>
        <w:overflowPunct w:val="0"/>
        <w:autoSpaceDE w:val="0"/>
        <w:spacing w:before="120" w:after="0"/>
        <w:jc w:val="both"/>
      </w:pPr>
      <w:r>
        <w:rPr>
          <w:rFonts w:cs="Calibri"/>
          <w:sz w:val="20"/>
          <w:szCs w:val="20"/>
        </w:rPr>
        <w:t>Tabuľka garantovaných hodnôt celého vodíkového hospodárstva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2693"/>
        <w:gridCol w:w="2693"/>
      </w:tblGrid>
      <w:tr w:rsidR="008D3A46" w14:paraId="51E7F0C0" w14:textId="77777777">
        <w:tblPrEx>
          <w:tblCellMar>
            <w:top w:w="0" w:type="dxa"/>
            <w:bottom w:w="0" w:type="dxa"/>
          </w:tblCellMar>
        </w:tblPrEx>
        <w:trPr>
          <w:trHeight w:val="249"/>
          <w:tblHeader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BC" w14:textId="77777777">
            <w:pPr>
              <w:spacing w:after="0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BD" w14:textId="77777777">
            <w:pPr>
              <w:spacing w:after="0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cs-CZ"/>
              </w:rPr>
              <w:t>Hodnota/Rozsah/Para-meter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BE" w14:textId="77777777">
            <w:pPr>
              <w:spacing w:after="0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cs-CZ"/>
              </w:rPr>
              <w:t>Poznámka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660B62" w14:paraId="51E7F0BF" w14:textId="77777777">
            <w:pPr>
              <w:spacing w:after="0"/>
            </w:pPr>
            <w:r>
              <w:rPr>
                <w:rFonts w:eastAsia="Times New Roman" w:cs="Calibri"/>
                <w:b/>
                <w:color w:val="FF0000"/>
                <w:sz w:val="20"/>
                <w:szCs w:val="20"/>
                <w:lang w:eastAsia="cs-CZ"/>
              </w:rPr>
              <w:t>Hodnoty garantované navrhovateľom</w:t>
            </w:r>
          </w:p>
        </w:tc>
      </w:tr>
      <w:tr w:rsidR="008D3A46" w14:paraId="51E7F0C5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C1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Doba plnej aktivácie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C2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Max. 5 min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C3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Čas potrebný na dosiahnutie maximálneho výkonu celého VH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C4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8D3A46" w14:paraId="51E7F0CA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C6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lastRenderedPageBreak/>
              <w:t xml:space="preserve">Trend </w:t>
            </w:r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nábehu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C7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1,0 MW/30 s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C8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Minimálny trend nábehu. Trend nemôže byť pomalší.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C9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8D3A46" w14:paraId="51E7F0CF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CB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Cyklus obnovy žiadaného činného výkonu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CC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Max. 5 s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CD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Perióda vzorkovania, snímania a riadenia technológie musí umožniť obnovu dát z centrálneho regulátora s danou rýchlosťou.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CE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8D3A46" w14:paraId="51E7F0D4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D0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Max. krok</w:t>
            </w:r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 regulácie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D1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0.1 MW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D2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Žiadanú hodnotu výkonu musí byť možné nastavovať v desatinách MW.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D3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8D3A46" w14:paraId="51E7F0D9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D5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Reakcia na zmenu žiadanej hodnoty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D6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Max. 15 s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D7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Do tohto času musí VH zareagovať na zmenu meranej hodnoty – spätná väzba merania výkonu ukáže zmenu smerom k žiadanej hodnote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D8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8D3A46" w14:paraId="51E7F0DE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DA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Hodnoty výkonu budú merané a archivované s presnosťou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DB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3 desatinné miesta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DC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V Megawattoch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DD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8D3A46" w14:paraId="51E7F0E3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DF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Opakovanie výkonovej zmeny do + a do -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E0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neobmedzene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E1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Želanú hodnotu v oboch smeroch požadujeme meniť neobmedzene krát za sebou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E2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8D3A46" w14:paraId="51E7F0E8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E4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Odchýlka skutočného činného výkonu </w:t>
            </w:r>
            <w:r>
              <w:rPr>
                <w:rFonts w:eastAsia="Times New Roman" w:cs="Calibri"/>
                <w:sz w:val="20"/>
                <w:szCs w:val="20"/>
                <w:lang w:eastAsia="cs-CZ"/>
              </w:rPr>
              <w:t>od želaného činného výkonu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E5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Max. 5 %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E6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Z celého regulačného rozsahu (max. výkon – min. výkon)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E7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8D3A46" w14:paraId="51E7F0ED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E9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Kvalita a stabilita regulácie výkonu - oscilácie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EA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Max. 2,5 %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EB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Amplitúda kmitania, nesmie prekročiť 2,5 % regulačného rozsahu (max. výkon – min. výkon)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EC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8D3A46" w14:paraId="51E7F0F2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EE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>Garancie hlu</w:t>
            </w:r>
            <w:r>
              <w:rPr>
                <w:rFonts w:eastAsia="Times New Roman" w:cs="Calibri"/>
                <w:sz w:val="20"/>
                <w:szCs w:val="20"/>
                <w:lang w:eastAsia="cs-CZ"/>
              </w:rPr>
              <w:t>ku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EF" w14:textId="77777777">
            <w:pPr>
              <w:spacing w:after="0"/>
            </w:pPr>
            <w:r>
              <w:rPr>
                <w:rFonts w:eastAsia="Times New Roman" w:cs="Calibri"/>
                <w:sz w:val="20"/>
                <w:szCs w:val="20"/>
                <w:lang w:eastAsia="cs-CZ"/>
              </w:rPr>
              <w:t xml:space="preserve">Max. </w:t>
            </w:r>
            <w:r>
              <w:rPr>
                <w:rFonts w:cs="Calibri"/>
                <w:sz w:val="20"/>
                <w:szCs w:val="20"/>
              </w:rPr>
              <w:t xml:space="preserve">70 dB vo vzdialenosti 10 m od zariadenia.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8D3A46" w14:paraId="51E7F0F0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3A46" w:rsidRDefault="008D3A46" w14:paraId="51E7F0F1" w14:textId="77777777">
            <w:pPr>
              <w:spacing w:after="0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</w:tbl>
    <w:p w:rsidR="008D3A46" w:rsidRDefault="008D3A46" w14:paraId="51E7F0F3" w14:textId="77777777">
      <w:pPr>
        <w:rPr>
          <w:rFonts w:cs="Calibri"/>
          <w:sz w:val="20"/>
          <w:szCs w:val="20"/>
        </w:rPr>
      </w:pPr>
    </w:p>
    <w:p w:rsidR="008D3A46" w:rsidRDefault="00660B62" w14:paraId="51E7F0F4" w14:textId="77777777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Dolu podpísaný čestne prehlasujem, že:</w:t>
      </w:r>
    </w:p>
    <w:p w:rsidR="008D3A46" w:rsidRDefault="00660B62" w14:paraId="51E7F0F5" w14:textId="77777777">
      <w:pPr>
        <w:ind w:left="567" w:hanging="56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Riešenie uvedené v tejto cenovej ponuke zodpovedá svojimi parametrami špecifikácii a požiadavkám vyhlasovateľa na predmet zákazky a požadovaným náležitostiam </w:t>
      </w:r>
      <w:r>
        <w:rPr>
          <w:rFonts w:cs="Calibri"/>
          <w:sz w:val="20"/>
          <w:szCs w:val="20"/>
        </w:rPr>
        <w:t>uvedeným v súťažných podkladoch.</w:t>
      </w:r>
    </w:p>
    <w:p w:rsidR="008D3A46" w:rsidRDefault="008D3A46" w14:paraId="51E7F0F6" w14:textId="77777777">
      <w:pPr>
        <w:rPr>
          <w:rFonts w:cs="Calibri"/>
          <w:sz w:val="20"/>
          <w:szCs w:val="20"/>
        </w:rPr>
      </w:pPr>
    </w:p>
    <w:p w:rsidR="008D3A46" w:rsidRDefault="00660B62" w14:paraId="51E7F0F7" w14:textId="77777777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8D3A46" w14:paraId="51E7F0F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8D3A46" w14:paraId="51E7F0F8" w14:textId="77777777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8D3A46" w14:paraId="51E7F0F9" w14:textId="77777777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8D3A46" w14:paraId="51E7F0FD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8D3A46" w14:paraId="51E7F0FB" w14:textId="77777777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A46" w:rsidRDefault="00660B62" w14:paraId="51E7F0FC" w14:textId="77777777">
            <w:pPr>
              <w:spacing w:after="0"/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vypísať meno, priezvisko a funkciu </w:t>
            </w:r>
            <w:r>
              <w:rPr>
                <w:rFonts w:cs="Calibri"/>
                <w:i/>
                <w:sz w:val="20"/>
                <w:szCs w:val="20"/>
              </w:rPr>
              <w:br/>
            </w:r>
            <w:r>
              <w:rPr>
                <w:rFonts w:cs="Calibri"/>
                <w:i/>
                <w:sz w:val="20"/>
                <w:szCs w:val="20"/>
              </w:rPr>
              <w:t>oprávnenej osoby navrhovateľa</w:t>
            </w:r>
          </w:p>
        </w:tc>
      </w:tr>
    </w:tbl>
    <w:p w:rsidR="008D3A46" w:rsidRDefault="00660B62" w14:paraId="51E7F0FE" w14:textId="77777777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Poznámka:</w:t>
      </w:r>
    </w:p>
    <w:p w:rsidR="008D3A46" w:rsidRDefault="00660B62" w14:paraId="51E7F0FF" w14:textId="77777777">
      <w:pPr>
        <w:ind w:left="284" w:hanging="284"/>
      </w:pPr>
      <w:r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podpis navrhovateľa alebo osoby oprávnenej konať za navrhovateľa (v prípade skupiny dodávateľov </w:t>
      </w:r>
      <w:r>
        <w:rPr>
          <w:rFonts w:cs="Calibri"/>
          <w:sz w:val="20"/>
          <w:szCs w:val="20"/>
        </w:rPr>
        <w:t>podpis každého člena skupiny dodávateľov</w:t>
      </w:r>
    </w:p>
    <w:sectPr w:rsidR="008D3A46">
      <w:pgSz w:w="11906" w:h="16838" w:orient="portrait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60B62" w14:paraId="51E7EF9F" w14:textId="77777777">
      <w:pPr>
        <w:spacing w:after="0"/>
      </w:pPr>
      <w:r>
        <w:separator/>
      </w:r>
    </w:p>
  </w:endnote>
  <w:endnote w:type="continuationSeparator" w:id="0">
    <w:p w:rsidR="00000000" w:rsidRDefault="00660B62" w14:paraId="51E7EFA1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60B62" w14:paraId="51E7EF9B" w14:textId="7777777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660B62" w14:paraId="51E7EF9D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00BB"/>
    <w:multiLevelType w:val="multilevel"/>
    <w:tmpl w:val="78A49E9C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E13808"/>
    <w:multiLevelType w:val="multilevel"/>
    <w:tmpl w:val="7A8AA6E8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7E73B81"/>
    <w:multiLevelType w:val="multilevel"/>
    <w:tmpl w:val="0DC245F2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8E120FA"/>
    <w:multiLevelType w:val="multilevel"/>
    <w:tmpl w:val="93C8091E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DB73E3A"/>
    <w:multiLevelType w:val="multilevel"/>
    <w:tmpl w:val="E37CD1C0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FFE14DA"/>
    <w:multiLevelType w:val="multilevel"/>
    <w:tmpl w:val="6B90DC38"/>
    <w:styleLink w:val="WWOutlineListStyle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489110B"/>
    <w:multiLevelType w:val="multilevel"/>
    <w:tmpl w:val="0942ACAE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9DF2E09"/>
    <w:multiLevelType w:val="multilevel"/>
    <w:tmpl w:val="87C2C6CA"/>
    <w:styleLink w:val="WWOutlineListStyle13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861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B874554"/>
    <w:multiLevelType w:val="multilevel"/>
    <w:tmpl w:val="C420B0E6"/>
    <w:styleLink w:val="WWOutlineListStyle6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E380891"/>
    <w:multiLevelType w:val="multilevel"/>
    <w:tmpl w:val="B20AC450"/>
    <w:styleLink w:val="WWOutlineListStyle6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4B86D33"/>
    <w:multiLevelType w:val="multilevel"/>
    <w:tmpl w:val="3356ECF0"/>
    <w:styleLink w:val="WWOutlineListStyle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57E10FB"/>
    <w:multiLevelType w:val="multilevel"/>
    <w:tmpl w:val="26980CF2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7DE181B"/>
    <w:multiLevelType w:val="multilevel"/>
    <w:tmpl w:val="DBF62042"/>
    <w:styleLink w:val="WWOutlineListStyle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CA458DC"/>
    <w:multiLevelType w:val="multilevel"/>
    <w:tmpl w:val="61125C9A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11B1B33"/>
    <w:multiLevelType w:val="multilevel"/>
    <w:tmpl w:val="6632E26A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C3D2178"/>
    <w:multiLevelType w:val="multilevel"/>
    <w:tmpl w:val="870405A4"/>
    <w:styleLink w:val="WWOutlineListStyle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80B0C67"/>
    <w:multiLevelType w:val="multilevel"/>
    <w:tmpl w:val="E18A137C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FAB296E"/>
    <w:multiLevelType w:val="multilevel"/>
    <w:tmpl w:val="51628896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6"/>
  </w:num>
  <w:num w:numId="5">
    <w:abstractNumId w:val="13"/>
  </w:num>
  <w:num w:numId="6">
    <w:abstractNumId w:val="17"/>
  </w:num>
  <w:num w:numId="7">
    <w:abstractNumId w:val="6"/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3"/>
  </w:num>
  <w:num w:numId="13">
    <w:abstractNumId w:val="1"/>
  </w:num>
  <w:num w:numId="14">
    <w:abstractNumId w:val="14"/>
  </w:num>
  <w:num w:numId="15">
    <w:abstractNumId w:val="8"/>
  </w:num>
  <w:num w:numId="16">
    <w:abstractNumId w:val="15"/>
  </w:num>
  <w:num w:numId="17">
    <w:abstractNumId w:val="9"/>
  </w:num>
  <w:num w:numId="18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attachedTemplate r:id="rId1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3A46"/>
    <w:rsid w:val="00660B62"/>
    <w:rsid w:val="008D3A46"/>
    <w:rsid w:val="5B09FF94"/>
    <w:rsid w:val="6BA17B66"/>
    <w:rsid w:val="7781D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EF9B"/>
  <w15:docId w15:val="{F33E037E-5F72-4C72-91E1-46E41DDC8D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y" w:default="1">
    <w:name w:val="Normal"/>
    <w:qFormat/>
    <w:pPr>
      <w:suppressAutoHyphens/>
    </w:pPr>
  </w:style>
  <w:style w:type="paragraph" w:styleId="Nadpis1">
    <w:name w:val="heading 1"/>
    <w:basedOn w:val="Normlny"/>
    <w:next w:val="Normlny"/>
    <w:uiPriority w:val="9"/>
    <w:qFormat/>
    <w:pPr>
      <w:keepNext/>
      <w:numPr>
        <w:numId w:val="1"/>
      </w:numPr>
      <w:spacing w:before="480" w:after="120"/>
      <w:jc w:val="both"/>
      <w:outlineLvl w:val="0"/>
    </w:pPr>
    <w:rPr>
      <w:rFonts w:ascii="Arial" w:hAnsi="Arial" w:eastAsia="Times New Roman"/>
      <w:b/>
      <w:caps/>
      <w:kern w:val="3"/>
      <w:sz w:val="28"/>
      <w:szCs w:val="28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numPr>
        <w:ilvl w:val="1"/>
        <w:numId w:val="1"/>
      </w:numPr>
      <w:spacing w:before="360" w:after="120"/>
      <w:jc w:val="both"/>
      <w:outlineLvl w:val="1"/>
    </w:pPr>
    <w:rPr>
      <w:rFonts w:ascii="Arial" w:hAnsi="Arial" w:eastAsia="Times New Roman"/>
      <w:b/>
      <w:caps/>
      <w:kern w:val="3"/>
      <w:sz w:val="24"/>
      <w:szCs w:val="24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numPr>
        <w:ilvl w:val="2"/>
        <w:numId w:val="1"/>
      </w:numPr>
      <w:tabs>
        <w:tab w:val="left" w:pos="-17361"/>
      </w:tabs>
      <w:spacing w:before="240" w:after="60"/>
      <w:jc w:val="both"/>
      <w:outlineLvl w:val="2"/>
    </w:pPr>
    <w:rPr>
      <w:rFonts w:ascii="Arial" w:hAnsi="Arial" w:eastAsia="Times New Roman"/>
      <w:b/>
      <w:caps/>
      <w:kern w:val="3"/>
      <w:sz w:val="28"/>
      <w:szCs w:val="20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eastAsia="Times New Roman"/>
      <w:b/>
      <w:caps/>
      <w:kern w:val="3"/>
      <w:sz w:val="24"/>
      <w:szCs w:val="20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numPr>
        <w:ilvl w:val="4"/>
        <w:numId w:val="1"/>
      </w:numPr>
      <w:spacing w:before="240" w:after="60"/>
      <w:jc w:val="both"/>
      <w:outlineLvl w:val="4"/>
    </w:pPr>
    <w:rPr>
      <w:rFonts w:ascii="Arial" w:hAnsi="Arial" w:eastAsia="Times New Roman"/>
      <w:kern w:val="3"/>
      <w:sz w:val="24"/>
      <w:szCs w:val="20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numPr>
        <w:ilvl w:val="5"/>
        <w:numId w:val="1"/>
      </w:numPr>
      <w:spacing w:before="240" w:after="60"/>
      <w:jc w:val="both"/>
      <w:outlineLvl w:val="5"/>
    </w:pPr>
    <w:rPr>
      <w:rFonts w:ascii="Arial" w:hAnsi="Arial" w:eastAsia="Times New Roman"/>
      <w:i/>
      <w:kern w:val="3"/>
      <w:szCs w:val="20"/>
    </w:rPr>
  </w:style>
  <w:style w:type="paragraph" w:styleId="Nadpis7">
    <w:name w:val="heading 7"/>
    <w:basedOn w:val="Normlny"/>
    <w:next w:val="Normlny"/>
    <w:pPr>
      <w:keepNext/>
      <w:numPr>
        <w:ilvl w:val="6"/>
        <w:numId w:val="1"/>
      </w:numPr>
      <w:spacing w:before="240" w:after="60"/>
      <w:jc w:val="both"/>
      <w:outlineLvl w:val="6"/>
    </w:pPr>
    <w:rPr>
      <w:rFonts w:ascii="Arial" w:hAnsi="Arial" w:eastAsia="Times New Roman"/>
      <w:kern w:val="3"/>
      <w:sz w:val="20"/>
      <w:szCs w:val="20"/>
    </w:rPr>
  </w:style>
  <w:style w:type="paragraph" w:styleId="Nadpis8">
    <w:name w:val="heading 8"/>
    <w:basedOn w:val="Normlny"/>
    <w:next w:val="Normlny"/>
    <w:pPr>
      <w:keepNext/>
      <w:numPr>
        <w:ilvl w:val="7"/>
        <w:numId w:val="1"/>
      </w:numPr>
      <w:spacing w:before="240" w:after="60"/>
      <w:jc w:val="both"/>
      <w:outlineLvl w:val="7"/>
    </w:pPr>
    <w:rPr>
      <w:rFonts w:ascii="Arial" w:hAnsi="Arial" w:eastAsia="Times New Roman"/>
      <w:i/>
      <w:kern w:val="3"/>
      <w:sz w:val="20"/>
      <w:szCs w:val="20"/>
    </w:rPr>
  </w:style>
  <w:style w:type="paragraph" w:styleId="Nadpis9">
    <w:name w:val="heading 9"/>
    <w:basedOn w:val="Normlny"/>
    <w:next w:val="Normlny"/>
    <w:pPr>
      <w:keepNext/>
      <w:numPr>
        <w:ilvl w:val="8"/>
        <w:numId w:val="1"/>
      </w:numPr>
      <w:spacing w:before="240" w:after="60"/>
      <w:jc w:val="both"/>
      <w:outlineLvl w:val="8"/>
    </w:pPr>
    <w:rPr>
      <w:rFonts w:ascii="Arial" w:hAnsi="Arial" w:eastAsia="Times New Roman"/>
      <w:i/>
      <w:kern w:val="3"/>
      <w:sz w:val="18"/>
      <w:szCs w:val="20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numbering" w:styleId="WWOutlineListStyle13" w:customStyle="1">
    <w:name w:val="WW_OutlineListStyle_13"/>
    <w:basedOn w:val="Bezzoznamu"/>
    <w:pPr>
      <w:numPr>
        <w:numId w:val="1"/>
      </w:numPr>
    </w:pPr>
  </w:style>
  <w:style w:type="paragraph" w:styleId="Normln" w:customStyle="1">
    <w:name w:val="Normální"/>
  </w:style>
  <w:style w:type="character" w:styleId="Standardnpsmoodstavce" w:customStyle="1">
    <w:name w:val="Standardní písmo odstavce"/>
  </w:style>
  <w:style w:type="paragraph" w:styleId="Bezriadkovania">
    <w:name w:val="No Spacing"/>
    <w:pPr>
      <w:suppressAutoHyphens/>
      <w:spacing w:after="0"/>
    </w:pPr>
    <w:rPr>
      <w:rFonts w:ascii="Arial" w:hAnsi="Arial" w:eastAsia="Times New Roman"/>
      <w:sz w:val="24"/>
      <w:szCs w:val="20"/>
      <w:lang w:val="cs-CZ" w:eastAsia="cs-CZ"/>
    </w:rPr>
  </w:style>
  <w:style w:type="paragraph" w:styleId="Odsekzoznamu">
    <w:name w:val="List Paragraph"/>
    <w:basedOn w:val="Normlny"/>
    <w:pPr>
      <w:ind w:left="720"/>
    </w:pPr>
  </w:style>
  <w:style w:type="character" w:styleId="Nadpis1Char" w:customStyle="1">
    <w:name w:val="Nadpis 1 Char"/>
    <w:basedOn w:val="Predvolenpsmoodseku"/>
    <w:rPr>
      <w:rFonts w:ascii="Arial" w:hAnsi="Arial" w:eastAsia="Times New Roman" w:cs="Times New Roman"/>
      <w:b/>
      <w:caps/>
      <w:kern w:val="3"/>
      <w:sz w:val="36"/>
      <w:szCs w:val="20"/>
    </w:rPr>
  </w:style>
  <w:style w:type="character" w:styleId="Nadpis2Char" w:customStyle="1">
    <w:name w:val="Nadpis 2 Char"/>
    <w:basedOn w:val="Predvolenpsmoodseku"/>
    <w:rPr>
      <w:rFonts w:ascii="Arial" w:hAnsi="Arial" w:eastAsia="Times New Roman" w:cs="Times New Roman"/>
      <w:b/>
      <w:caps/>
      <w:kern w:val="3"/>
      <w:sz w:val="32"/>
      <w:szCs w:val="20"/>
    </w:rPr>
  </w:style>
  <w:style w:type="character" w:styleId="Nadpis3Char" w:customStyle="1">
    <w:name w:val="Nadpis 3 Char"/>
    <w:basedOn w:val="Predvolenpsmoodseku"/>
    <w:rPr>
      <w:rFonts w:ascii="Arial" w:hAnsi="Arial" w:eastAsia="Times New Roman" w:cs="Times New Roman"/>
      <w:b/>
      <w:caps/>
      <w:kern w:val="3"/>
      <w:sz w:val="28"/>
      <w:szCs w:val="20"/>
    </w:rPr>
  </w:style>
  <w:style w:type="character" w:styleId="Nadpis4Char" w:customStyle="1">
    <w:name w:val="Nadpis 4 Char"/>
    <w:basedOn w:val="Predvolenpsmoodseku"/>
    <w:rPr>
      <w:rFonts w:ascii="Arial" w:hAnsi="Arial" w:eastAsia="Times New Roman" w:cs="Times New Roman"/>
      <w:b/>
      <w:caps/>
      <w:kern w:val="3"/>
      <w:sz w:val="24"/>
      <w:szCs w:val="20"/>
    </w:rPr>
  </w:style>
  <w:style w:type="character" w:styleId="Nadpis5Char" w:customStyle="1">
    <w:name w:val="Nadpis 5 Char"/>
    <w:basedOn w:val="Predvolenpsmoodseku"/>
    <w:rPr>
      <w:rFonts w:ascii="Arial" w:hAnsi="Arial" w:eastAsia="Times New Roman" w:cs="Times New Roman"/>
      <w:kern w:val="3"/>
      <w:sz w:val="24"/>
      <w:szCs w:val="20"/>
    </w:rPr>
  </w:style>
  <w:style w:type="character" w:styleId="Nadpis6Char" w:customStyle="1">
    <w:name w:val="Nadpis 6 Char"/>
    <w:basedOn w:val="Predvolenpsmoodseku"/>
    <w:rPr>
      <w:rFonts w:ascii="Arial" w:hAnsi="Arial" w:eastAsia="Times New Roman" w:cs="Times New Roman"/>
      <w:i/>
      <w:kern w:val="3"/>
      <w:szCs w:val="20"/>
    </w:rPr>
  </w:style>
  <w:style w:type="character" w:styleId="Nadpis7Char" w:customStyle="1">
    <w:name w:val="Nadpis 7 Char"/>
    <w:basedOn w:val="Predvolenpsmoodseku"/>
    <w:rPr>
      <w:rFonts w:ascii="Arial" w:hAnsi="Arial" w:eastAsia="Times New Roman" w:cs="Times New Roman"/>
      <w:kern w:val="3"/>
      <w:sz w:val="20"/>
      <w:szCs w:val="20"/>
    </w:rPr>
  </w:style>
  <w:style w:type="character" w:styleId="Nadpis8Char" w:customStyle="1">
    <w:name w:val="Nadpis 8 Char"/>
    <w:basedOn w:val="Predvolenpsmoodseku"/>
    <w:rPr>
      <w:rFonts w:ascii="Arial" w:hAnsi="Arial" w:eastAsia="Times New Roman" w:cs="Times New Roman"/>
      <w:i/>
      <w:kern w:val="3"/>
      <w:sz w:val="20"/>
      <w:szCs w:val="20"/>
    </w:rPr>
  </w:style>
  <w:style w:type="character" w:styleId="Nadpis9Char" w:customStyle="1">
    <w:name w:val="Nadpis 9 Char"/>
    <w:basedOn w:val="Predvolenpsmoodseku"/>
    <w:rPr>
      <w:rFonts w:ascii="Arial" w:hAnsi="Arial" w:eastAsia="Times New Roman" w:cs="Times New Roman"/>
      <w:i/>
      <w:kern w:val="3"/>
      <w:sz w:val="18"/>
      <w:szCs w:val="20"/>
    </w:rPr>
  </w:style>
  <w:style w:type="paragraph" w:styleId="paragraph" w:customStyle="1">
    <w:name w:val="paragraph"/>
    <w:basedOn w:val="Normlny"/>
    <w:pPr>
      <w:spacing w:before="100" w:after="100"/>
      <w:jc w:val="both"/>
    </w:pPr>
    <w:rPr>
      <w:rFonts w:ascii="Times New Roman" w:hAnsi="Times New Roman" w:eastAsia="Times New Roman"/>
      <w:sz w:val="24"/>
      <w:szCs w:val="24"/>
    </w:rPr>
  </w:style>
  <w:style w:type="character" w:styleId="normaltextrun" w:customStyle="1">
    <w:name w:val="normaltextrun"/>
    <w:basedOn w:val="Predvolenpsmoodseku"/>
  </w:style>
  <w:style w:type="character" w:styleId="eop" w:customStyle="1">
    <w:name w:val="eop"/>
    <w:basedOn w:val="Predvolenpsmoodseku"/>
  </w:style>
  <w:style w:type="character" w:styleId="Odkaznakoment" w:customStyle="1">
    <w:name w:val="Odkaz na komentář"/>
    <w:basedOn w:val="Standardnpsmoodstavce"/>
    <w:rPr>
      <w:sz w:val="16"/>
      <w:szCs w:val="16"/>
    </w:rPr>
  </w:style>
  <w:style w:type="paragraph" w:styleId="Textkomente" w:customStyle="1">
    <w:name w:val="Text komentáře"/>
    <w:basedOn w:val="Normln"/>
    <w:rPr>
      <w:sz w:val="20"/>
      <w:szCs w:val="20"/>
    </w:rPr>
  </w:style>
  <w:style w:type="character" w:styleId="TextkomenteChar" w:customStyle="1">
    <w:name w:val="Text komentáře Char"/>
    <w:basedOn w:val="Standardnpsmoodstavce"/>
    <w:rPr>
      <w:sz w:val="20"/>
      <w:szCs w:val="20"/>
    </w:rPr>
  </w:style>
  <w:style w:type="paragraph" w:styleId="Pedmtkomente" w:customStyle="1">
    <w:name w:val="Předmět komentáře"/>
    <w:basedOn w:val="Textkomente"/>
    <w:next w:val="Textkomente"/>
    <w:rPr>
      <w:b/>
      <w:bCs/>
    </w:rPr>
  </w:style>
  <w:style w:type="character" w:styleId="PedmtkomenteChar" w:customStyle="1">
    <w:name w:val="Předmět komentáře Char"/>
    <w:basedOn w:val="TextkomenteChar"/>
    <w:rPr>
      <w:b/>
      <w:bCs/>
      <w:sz w:val="20"/>
      <w:szCs w:val="20"/>
    </w:rPr>
  </w:style>
  <w:style w:type="paragraph" w:styleId="Revize" w:customStyle="1">
    <w:name w:val="Revize"/>
    <w:pPr>
      <w:spacing w:after="0"/>
    </w:p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</w:pPr>
  </w:style>
  <w:style w:type="character" w:styleId="HlavikaChar" w:customStyle="1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/>
    </w:pPr>
  </w:style>
  <w:style w:type="character" w:styleId="PtaChar" w:customStyle="1">
    <w:name w:val="Päta Char"/>
    <w:basedOn w:val="Predvolenpsmoodseku"/>
  </w:style>
  <w:style w:type="character" w:styleId="OdsekzoznamuChar" w:customStyle="1">
    <w:name w:val="Odsek zoznamu Char"/>
  </w:style>
  <w:style w:type="numbering" w:styleId="WWOutlineListStyle12" w:customStyle="1">
    <w:name w:val="WW_OutlineListStyle_12"/>
    <w:basedOn w:val="Bezzoznamu"/>
    <w:pPr>
      <w:numPr>
        <w:numId w:val="2"/>
      </w:numPr>
    </w:pPr>
  </w:style>
  <w:style w:type="numbering" w:styleId="WWOutlineListStyle11" w:customStyle="1">
    <w:name w:val="WW_OutlineListStyle_11"/>
    <w:basedOn w:val="Bezzoznamu"/>
    <w:pPr>
      <w:numPr>
        <w:numId w:val="3"/>
      </w:numPr>
    </w:pPr>
  </w:style>
  <w:style w:type="numbering" w:styleId="WWOutlineListStyle10" w:customStyle="1">
    <w:name w:val="WW_OutlineListStyle_10"/>
    <w:basedOn w:val="Bezzoznamu"/>
    <w:pPr>
      <w:numPr>
        <w:numId w:val="4"/>
      </w:numPr>
    </w:pPr>
  </w:style>
  <w:style w:type="numbering" w:styleId="WWOutlineListStyle8" w:customStyle="1">
    <w:name w:val="WW_OutlineListStyle_8"/>
    <w:basedOn w:val="Bezzoznamu"/>
    <w:pPr>
      <w:numPr>
        <w:numId w:val="5"/>
      </w:numPr>
    </w:pPr>
  </w:style>
  <w:style w:type="numbering" w:styleId="WWOutlineListStyle7" w:customStyle="1">
    <w:name w:val="WW_OutlineListStyle_7"/>
    <w:basedOn w:val="Bezzoznamu"/>
    <w:pPr>
      <w:numPr>
        <w:numId w:val="6"/>
      </w:numPr>
    </w:pPr>
  </w:style>
  <w:style w:type="numbering" w:styleId="WWOutlineListStyle5" w:customStyle="1">
    <w:name w:val="WW_OutlineListStyle_5"/>
    <w:basedOn w:val="Bezzoznamu"/>
    <w:pPr>
      <w:numPr>
        <w:numId w:val="7"/>
      </w:numPr>
    </w:pPr>
  </w:style>
  <w:style w:type="numbering" w:styleId="WWOutlineListStyle4" w:customStyle="1">
    <w:name w:val="WW_OutlineListStyle_4"/>
    <w:basedOn w:val="Bezzoznamu"/>
    <w:pPr>
      <w:numPr>
        <w:numId w:val="8"/>
      </w:numPr>
    </w:pPr>
  </w:style>
  <w:style w:type="numbering" w:styleId="WWOutlineListStyle3" w:customStyle="1">
    <w:name w:val="WW_OutlineListStyle_3"/>
    <w:basedOn w:val="Bezzoznamu"/>
    <w:pPr>
      <w:numPr>
        <w:numId w:val="9"/>
      </w:numPr>
    </w:pPr>
  </w:style>
  <w:style w:type="numbering" w:styleId="WWOutlineListStyle2" w:customStyle="1">
    <w:name w:val="WW_OutlineListStyle_2"/>
    <w:basedOn w:val="Bezzoznamu"/>
    <w:pPr>
      <w:numPr>
        <w:numId w:val="10"/>
      </w:numPr>
    </w:pPr>
  </w:style>
  <w:style w:type="numbering" w:styleId="WWOutlineListStyle1" w:customStyle="1">
    <w:name w:val="WW_OutlineListStyle_1"/>
    <w:basedOn w:val="Bezzoznamu"/>
    <w:pPr>
      <w:numPr>
        <w:numId w:val="11"/>
      </w:numPr>
    </w:pPr>
  </w:style>
  <w:style w:type="numbering" w:styleId="WWOutlineListStyle" w:customStyle="1">
    <w:name w:val="WW_OutlineListStyle"/>
    <w:basedOn w:val="Bezzoznamu"/>
    <w:pPr>
      <w:numPr>
        <w:numId w:val="12"/>
      </w:numPr>
    </w:pPr>
  </w:style>
  <w:style w:type="numbering" w:styleId="WWOutlineListStyle9" w:customStyle="1">
    <w:name w:val="WW_OutlineListStyle_9"/>
    <w:basedOn w:val="Bezzoznamu"/>
    <w:pPr>
      <w:numPr>
        <w:numId w:val="13"/>
      </w:numPr>
    </w:pPr>
  </w:style>
  <w:style w:type="numbering" w:styleId="WWOutlineListStyle6" w:customStyle="1">
    <w:name w:val="WW_OutlineListStyle_6"/>
    <w:basedOn w:val="Bezzoznamu"/>
    <w:pPr>
      <w:numPr>
        <w:numId w:val="14"/>
      </w:numPr>
    </w:pPr>
  </w:style>
  <w:style w:type="numbering" w:styleId="WWOutlineListStyle61" w:customStyle="1">
    <w:name w:val="WW_OutlineListStyle_61"/>
    <w:basedOn w:val="Bezzoznamu"/>
    <w:pPr>
      <w:numPr>
        <w:numId w:val="15"/>
      </w:numPr>
    </w:pPr>
  </w:style>
  <w:style w:type="numbering" w:styleId="WWOutlineListStyle62" w:customStyle="1">
    <w:name w:val="WW_OutlineListStyle_62"/>
    <w:basedOn w:val="Bezzoznamu"/>
    <w:pPr>
      <w:numPr>
        <w:numId w:val="16"/>
      </w:numPr>
    </w:pPr>
  </w:style>
  <w:style w:type="numbering" w:styleId="WWOutlineListStyle63" w:customStyle="1">
    <w:name w:val="WW_OutlineListStyle_63"/>
    <w:basedOn w:val="Bezzoznamu"/>
    <w:pPr>
      <w:numPr>
        <w:numId w:val="17"/>
      </w:numPr>
    </w:pPr>
  </w:style>
  <w:style w:type="numbering" w:styleId="WWOutlineListStyle64" w:customStyle="1">
    <w:name w:val="WW_OutlineListStyle_64"/>
    <w:basedOn w:val="Bezzoznamu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901B73093E146AEDF17D2FCC012CA" ma:contentTypeVersion="13" ma:contentTypeDescription="Create a new document." ma:contentTypeScope="" ma:versionID="8efd1fa3e1033ecff1c631c6937a7255">
  <xsd:schema xmlns:xsd="http://www.w3.org/2001/XMLSchema" xmlns:xs="http://www.w3.org/2001/XMLSchema" xmlns:p="http://schemas.microsoft.com/office/2006/metadata/properties" xmlns:ns2="8e2576ed-1fc1-4751-b5b5-dc0a23e7eaec" xmlns:ns3="71f3f47a-7f3b-4818-9da2-1aa7eb3a6a9a" targetNamespace="http://schemas.microsoft.com/office/2006/metadata/properties" ma:root="true" ma:fieldsID="bcf3b9cbe848a6d55f8dc257895a856e" ns2:_="" ns3:_="">
    <xsd:import namespace="8e2576ed-1fc1-4751-b5b5-dc0a23e7eaec"/>
    <xsd:import namespace="71f3f47a-7f3b-4818-9da2-1aa7eb3a6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76ed-1fc1-4751-b5b5-dc0a23e7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e06f90-c1ae-490d-b657-27570edc6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f47a-7f3b-4818-9da2-1aa7eb3a6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ddcbc12-6442-4ac2-818a-a4d383f94783}" ma:internalName="TaxCatchAll" ma:showField="CatchAllData" ma:web="71f3f47a-7f3b-4818-9da2-1aa7eb3a6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576ed-1fc1-4751-b5b5-dc0a23e7eaec">
      <Terms xmlns="http://schemas.microsoft.com/office/infopath/2007/PartnerControls"/>
    </lcf76f155ced4ddcb4097134ff3c332f>
    <TaxCatchAll xmlns="71f3f47a-7f3b-4818-9da2-1aa7eb3a6a9a" xsi:nil="true"/>
  </documentManagement>
</p:properties>
</file>

<file path=customXml/itemProps1.xml><?xml version="1.0" encoding="utf-8"?>
<ds:datastoreItem xmlns:ds="http://schemas.openxmlformats.org/officeDocument/2006/customXml" ds:itemID="{A93069F3-3B5D-4428-9D7D-D5A2B9714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576ed-1fc1-4751-b5b5-dc0a23e7eaec"/>
    <ds:schemaRef ds:uri="71f3f47a-7f3b-4818-9da2-1aa7eb3a6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3EA29-8D31-4A06-B850-9AD341638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BB511-F632-4693-821B-F4060FDEAB68}">
  <ds:schemaRefs>
    <ds:schemaRef ds:uri="http://schemas.microsoft.com/office/2006/documentManagement/types"/>
    <ds:schemaRef ds:uri="71f3f47a-7f3b-4818-9da2-1aa7eb3a6a9a"/>
    <ds:schemaRef ds:uri="http://purl.org/dc/dcmitype/"/>
    <ds:schemaRef ds:uri="http://www.w3.org/XML/1998/namespace"/>
    <ds:schemaRef ds:uri="http://purl.org/dc/elements/1.1/"/>
    <ds:schemaRef ds:uri="8e2576ed-1fc1-4751-b5b5-dc0a23e7eaec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Pavol</dc:creator>
  <dc:description/>
  <cp:lastModifiedBy>Buroň Tomáš</cp:lastModifiedBy>
  <cp:revision>3</cp:revision>
  <dcterms:created xsi:type="dcterms:W3CDTF">2022-11-18T11:33:00Z</dcterms:created>
  <dcterms:modified xsi:type="dcterms:W3CDTF">2022-11-18T13:44:17Z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0x010100048901B73093E146AEDF17D2FCC012CA</vt:lpwstr>
  </property>
  <property fmtid="{D5CDD505-2E9C-101B-9397-08002B2CF9AE}" pid="3" name="MediaServiceImageTags">
    <vt:lpwstr/>
  </property>
</Properties>
</file>