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3203A7B1"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794150">
        <w:rPr>
          <w:rFonts w:cs="Arial"/>
          <w:b w:val="0"/>
          <w:bCs w:val="0"/>
          <w:sz w:val="24"/>
          <w:szCs w:val="24"/>
        </w:rPr>
        <w:t>4</w:t>
      </w:r>
      <w:r w:rsidR="005A3817" w:rsidRPr="005A3817">
        <w:rPr>
          <w:rFonts w:cs="Arial"/>
          <w:b w:val="0"/>
          <w:bCs w:val="0"/>
          <w:sz w:val="24"/>
          <w:szCs w:val="24"/>
        </w:rPr>
        <w:t>-2022-04-0</w:t>
      </w:r>
      <w:r w:rsidR="000B3B75">
        <w:rPr>
          <w:rFonts w:cs="Arial"/>
          <w:b w:val="0"/>
          <w:bCs w:val="0"/>
          <w:sz w:val="24"/>
          <w:szCs w:val="24"/>
        </w:rPr>
        <w:t>2</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w:t>
      </w:r>
      <w:bookmarkStart w:id="0" w:name="_GoBack"/>
      <w:bookmarkEnd w:id="0"/>
      <w:r w:rsidRPr="005A3817">
        <w:rPr>
          <w:rFonts w:cs="Arial"/>
          <w:szCs w:val="20"/>
        </w:rPr>
        <w:t xml:space="preserve">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28B24EFC" w:rsidR="008A2808" w:rsidRPr="005A3817" w:rsidRDefault="008A2808" w:rsidP="00341E86">
            <w:pPr>
              <w:spacing w:after="0" w:line="360" w:lineRule="auto"/>
              <w:jc w:val="both"/>
              <w:rPr>
                <w:rFonts w:cs="Arial"/>
                <w:szCs w:val="20"/>
              </w:rPr>
            </w:pPr>
            <w:r w:rsidRPr="005A3817">
              <w:rPr>
                <w:rFonts w:cs="Arial"/>
                <w:szCs w:val="20"/>
              </w:rPr>
              <w:t xml:space="preserve">Ing. Jozef Habara </w:t>
            </w:r>
            <w:r w:rsidR="00341E86">
              <w:rPr>
                <w:rFonts w:cs="Arial"/>
                <w:szCs w:val="20"/>
              </w:rPr>
              <w:t>–</w:t>
            </w:r>
            <w:r w:rsidRPr="005A3817">
              <w:rPr>
                <w:rFonts w:cs="Arial"/>
                <w:szCs w:val="20"/>
              </w:rPr>
              <w:t xml:space="preserve"> </w:t>
            </w:r>
            <w:r w:rsidR="00341E86">
              <w:rPr>
                <w:rFonts w:cs="Arial"/>
                <w:szCs w:val="20"/>
              </w:rPr>
              <w:t>vedúci OZ</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1512D01A"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xml:space="preserve">, </w:t>
      </w:r>
      <w:r w:rsidRPr="00BB4099">
        <w:rPr>
          <w:rFonts w:ascii="Arial" w:hAnsi="Arial" w:cs="Arial"/>
          <w:sz w:val="20"/>
          <w:highlight w:val="yellow"/>
          <w:lang w:val="sk-SK"/>
        </w:rPr>
        <w:t xml:space="preserve">VC </w:t>
      </w:r>
      <w:r w:rsidR="00EB0B08">
        <w:rPr>
          <w:rFonts w:ascii="Arial" w:hAnsi="Arial" w:cs="Arial"/>
          <w:sz w:val="20"/>
          <w:highlight w:val="yellow"/>
          <w:lang w:val="sk-SK"/>
        </w:rPr>
        <w:t>Čifáre</w:t>
      </w:r>
      <w:r w:rsidRPr="005A3817">
        <w:rPr>
          <w:rFonts w:ascii="Arial" w:hAnsi="Arial" w:cs="Arial"/>
          <w:sz w:val="20"/>
          <w:lang w:val="sk-SK"/>
        </w:rPr>
        <w:t xml:space="preserve">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 xml:space="preserve">výzvy č. </w:t>
      </w:r>
      <w:r w:rsidR="00341E86">
        <w:rPr>
          <w:rFonts w:ascii="Arial" w:hAnsi="Arial" w:cs="Arial"/>
          <w:sz w:val="20"/>
          <w:highlight w:val="yellow"/>
          <w:lang w:val="sk-SK"/>
        </w:rPr>
        <w:t>2</w:t>
      </w:r>
      <w:r w:rsidR="007A411F">
        <w:rPr>
          <w:rFonts w:ascii="Arial" w:hAnsi="Arial" w:cs="Arial"/>
          <w:sz w:val="20"/>
          <w:highlight w:val="yellow"/>
          <w:lang w:val="sk-SK"/>
        </w:rPr>
        <w:t>2</w:t>
      </w:r>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1FAC0A89"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007A411F">
        <w:rPr>
          <w:rFonts w:ascii="Arial" w:hAnsi="Arial" w:cs="Arial"/>
          <w:sz w:val="20"/>
          <w:lang w:val="sk-SK"/>
        </w:rPr>
        <w:t xml:space="preserve">do </w:t>
      </w:r>
      <w:r w:rsidR="007A411F" w:rsidRPr="007A411F">
        <w:rPr>
          <w:rFonts w:ascii="Arial" w:hAnsi="Arial" w:cs="Arial"/>
          <w:sz w:val="20"/>
          <w:highlight w:val="yellow"/>
          <w:lang w:val="sk-SK"/>
        </w:rPr>
        <w:t>31.12.2022</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4A2A2D9E"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6DF70E23" w:rsidR="008A2808" w:rsidRDefault="007462A0" w:rsidP="007462A0">
            <w:pPr>
              <w:spacing w:after="0"/>
              <w:jc w:val="center"/>
              <w:rPr>
                <w:rFonts w:cs="Arial"/>
                <w:szCs w:val="20"/>
              </w:rPr>
            </w:pPr>
            <w:r>
              <w:rPr>
                <w:rFonts w:eastAsia="Calibri" w:cs="Arial"/>
                <w:szCs w:val="20"/>
              </w:rPr>
              <w:t>vedúci</w:t>
            </w:r>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2727" w14:textId="77777777" w:rsidR="008D7302" w:rsidRDefault="008D7302">
      <w:r>
        <w:separator/>
      </w:r>
    </w:p>
  </w:endnote>
  <w:endnote w:type="continuationSeparator" w:id="0">
    <w:p w14:paraId="4376FEBC" w14:textId="77777777" w:rsidR="008D7302" w:rsidRDefault="008D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AA5DE34"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9415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94150">
                    <w:rPr>
                      <w:bCs/>
                      <w:noProof/>
                      <w:sz w:val="18"/>
                      <w:szCs w:val="18"/>
                    </w:rPr>
                    <w:t>11</w:t>
                  </w:r>
                  <w:r w:rsidRPr="007C3D49">
                    <w:rPr>
                      <w:bCs/>
                      <w:sz w:val="18"/>
                      <w:szCs w:val="18"/>
                    </w:rPr>
                    <w:fldChar w:fldCharType="end"/>
                  </w:r>
                </w:p>
              </w:tc>
            </w:tr>
          </w:tbl>
          <w:p w14:paraId="6C1DB06B" w14:textId="4C1116E8" w:rsidR="005E6172" w:rsidRPr="002917A0" w:rsidRDefault="008D730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D33A" w14:textId="77777777" w:rsidR="008D7302" w:rsidRDefault="008D7302">
      <w:r>
        <w:separator/>
      </w:r>
    </w:p>
  </w:footnote>
  <w:footnote w:type="continuationSeparator" w:id="0">
    <w:p w14:paraId="5B990C17" w14:textId="77777777" w:rsidR="008D7302" w:rsidRDefault="008D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3B75"/>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1EC"/>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E86"/>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0C7"/>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5EC7"/>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2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150"/>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411F"/>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302"/>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672A4"/>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099"/>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30A"/>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012"/>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217"/>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56C"/>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0B08"/>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35"/>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282A-23BB-4043-950E-7F76D89B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5252</Words>
  <Characters>29943</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2021-03-30T12:19:00Z</cp:lastPrinted>
  <dcterms:created xsi:type="dcterms:W3CDTF">2022-06-10T07:13:00Z</dcterms:created>
  <dcterms:modified xsi:type="dcterms:W3CDTF">2022-11-24T19:39:00Z</dcterms:modified>
  <cp:category>EIZ</cp:category>
</cp:coreProperties>
</file>