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2845949D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409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699B2EB6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r w:rsidR="009C6478" w:rsidRPr="009C6478">
        <w:rPr>
          <w:rFonts w:ascii="Calibri" w:hAnsi="Calibri"/>
          <w:color w:val="000000"/>
        </w:rPr>
        <w:t xml:space="preserve">Identifikačný systém </w:t>
      </w:r>
      <w:proofErr w:type="spellStart"/>
      <w:r w:rsidR="009C6478" w:rsidRPr="009C6478">
        <w:rPr>
          <w:rFonts w:ascii="Calibri" w:hAnsi="Calibri"/>
          <w:color w:val="000000"/>
        </w:rPr>
        <w:t>dojárne</w:t>
      </w:r>
      <w:proofErr w:type="spellEnd"/>
      <w:r w:rsidR="009C6478" w:rsidRPr="009C6478">
        <w:rPr>
          <w:rFonts w:ascii="Calibri" w:hAnsi="Calibri"/>
          <w:color w:val="000000"/>
        </w:rPr>
        <w:t xml:space="preserve"> s identifikáciou kráv</w:t>
      </w:r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37C69F6F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C6478" w:rsidRPr="009C6478">
        <w:rPr>
          <w:rFonts w:asciiTheme="minorHAnsi" w:hAnsiTheme="minorHAnsi" w:cstheme="minorHAnsi"/>
          <w:b/>
          <w:bCs/>
          <w:sz w:val="22"/>
          <w:szCs w:val="22"/>
        </w:rPr>
        <w:t>AGRODRUŽSTVO Turňa</w:t>
      </w:r>
    </w:p>
    <w:p w14:paraId="71D33AF0" w14:textId="3FCAEC0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r w:rsidR="009C6478" w:rsidRPr="009C6478">
        <w:rPr>
          <w:rFonts w:asciiTheme="minorHAnsi" w:hAnsiTheme="minorHAnsi" w:cstheme="minorHAnsi"/>
          <w:sz w:val="22"/>
          <w:szCs w:val="22"/>
        </w:rPr>
        <w:t>044 02 Turňa nad Bodvou 354</w:t>
      </w:r>
    </w:p>
    <w:p w14:paraId="55EF81DF" w14:textId="3C45FD2F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C6478" w:rsidRPr="009C6478">
        <w:rPr>
          <w:rFonts w:asciiTheme="minorHAnsi" w:hAnsiTheme="minorHAnsi" w:cstheme="minorHAnsi"/>
          <w:sz w:val="22"/>
          <w:szCs w:val="22"/>
        </w:rPr>
        <w:t>36861421</w:t>
      </w:r>
    </w:p>
    <w:p w14:paraId="60562EF6" w14:textId="184EE40D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C6478" w:rsidRPr="009C6478">
        <w:rPr>
          <w:rFonts w:asciiTheme="minorHAnsi" w:hAnsiTheme="minorHAnsi" w:cstheme="minorHAnsi"/>
          <w:sz w:val="22"/>
          <w:szCs w:val="22"/>
        </w:rPr>
        <w:t>2022735880</w:t>
      </w:r>
    </w:p>
    <w:p w14:paraId="6554833C" w14:textId="3D0988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C6478">
        <w:rPr>
          <w:rFonts w:asciiTheme="minorHAnsi" w:hAnsiTheme="minorHAnsi" w:cstheme="minorHAnsi"/>
          <w:sz w:val="22"/>
          <w:szCs w:val="22"/>
        </w:rPr>
        <w:t>SK</w:t>
      </w:r>
      <w:r w:rsidR="009C6478" w:rsidRPr="009C6478">
        <w:rPr>
          <w:rFonts w:asciiTheme="minorHAnsi" w:hAnsiTheme="minorHAnsi" w:cstheme="minorHAnsi"/>
          <w:sz w:val="22"/>
          <w:szCs w:val="22"/>
        </w:rPr>
        <w:t>2022735880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52BFED07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9C6478" w:rsidRPr="009C6478">
        <w:rPr>
          <w:rFonts w:asciiTheme="minorHAnsi" w:hAnsiTheme="minorHAnsi" w:cstheme="minorHAnsi"/>
          <w:sz w:val="22"/>
          <w:szCs w:val="22"/>
        </w:rPr>
        <w:t>Ing. Imrich Kovács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55F1C8A4" w:rsidR="00C142C4" w:rsidRPr="009A4D42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="009C6478" w:rsidRPr="009C6478">
        <w:rPr>
          <w:rFonts w:asciiTheme="minorHAnsi" w:hAnsiTheme="minorHAnsi" w:cstheme="minorHAnsi"/>
          <w:sz w:val="22"/>
          <w:szCs w:val="22"/>
        </w:rPr>
        <w:t xml:space="preserve">Identifikačný systém </w:t>
      </w:r>
      <w:proofErr w:type="spellStart"/>
      <w:r w:rsidR="009C6478" w:rsidRPr="009C6478">
        <w:rPr>
          <w:rFonts w:asciiTheme="minorHAnsi" w:hAnsiTheme="minorHAnsi" w:cstheme="minorHAnsi"/>
          <w:sz w:val="22"/>
          <w:szCs w:val="22"/>
        </w:rPr>
        <w:t>dojárne</w:t>
      </w:r>
      <w:proofErr w:type="spellEnd"/>
      <w:r w:rsidR="009C6478" w:rsidRPr="009C6478">
        <w:rPr>
          <w:rFonts w:asciiTheme="minorHAnsi" w:hAnsiTheme="minorHAnsi" w:cstheme="minorHAnsi"/>
          <w:sz w:val="22"/>
          <w:szCs w:val="22"/>
        </w:rPr>
        <w:t xml:space="preserve"> s identifikáciou kráv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77ED"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Príloha č. 1 – Opis </w:t>
      </w:r>
      <w:r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ktorá je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76EE3F55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A11971">
        <w:rPr>
          <w:rFonts w:asciiTheme="minorHAnsi" w:hAnsiTheme="minorHAnsi" w:cstheme="minorHAnsi"/>
          <w:sz w:val="22"/>
          <w:szCs w:val="22"/>
        </w:rPr>
        <w:t>9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0 dní od </w:t>
      </w:r>
      <w:r w:rsidR="00832081">
        <w:rPr>
          <w:rFonts w:asciiTheme="minorHAnsi" w:hAnsiTheme="minorHAnsi" w:cstheme="minorHAnsi"/>
          <w:sz w:val="22"/>
          <w:szCs w:val="22"/>
        </w:rPr>
        <w:t>nadobudnutia účinnosti zmluvy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6511E583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r w:rsidR="009C6478" w:rsidRPr="009C6478">
        <w:rPr>
          <w:rFonts w:asciiTheme="minorHAnsi" w:hAnsiTheme="minorHAnsi" w:cstheme="minorHAnsi"/>
          <w:sz w:val="22"/>
          <w:szCs w:val="22"/>
        </w:rPr>
        <w:t>044 02 Turňa nad Bodvou 354</w:t>
      </w:r>
      <w:r w:rsidR="009C6478">
        <w:rPr>
          <w:rFonts w:asciiTheme="minorHAnsi" w:hAnsiTheme="minorHAnsi" w:cstheme="minorHAnsi"/>
          <w:sz w:val="22"/>
          <w:szCs w:val="22"/>
        </w:rPr>
        <w:t>.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60280B33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57EDF571" w:rsidR="0081324E" w:rsidRPr="008356B5" w:rsidRDefault="009C6478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9C6478">
              <w:rPr>
                <w:rFonts w:asciiTheme="minorHAnsi" w:hAnsiTheme="minorHAnsi" w:cstheme="minorHAnsi"/>
                <w:sz w:val="22"/>
                <w:szCs w:val="22"/>
              </w:rPr>
              <w:t xml:space="preserve">Identifikačný systém </w:t>
            </w:r>
            <w:proofErr w:type="spellStart"/>
            <w:r w:rsidRPr="009C6478">
              <w:rPr>
                <w:rFonts w:asciiTheme="minorHAnsi" w:hAnsiTheme="minorHAnsi" w:cstheme="minorHAnsi"/>
                <w:sz w:val="22"/>
                <w:szCs w:val="22"/>
              </w:rPr>
              <w:t>dojárne</w:t>
            </w:r>
            <w:proofErr w:type="spellEnd"/>
            <w:r w:rsidRPr="009C6478">
              <w:rPr>
                <w:rFonts w:asciiTheme="minorHAnsi" w:hAnsiTheme="minorHAnsi" w:cstheme="minorHAnsi"/>
                <w:sz w:val="22"/>
                <w:szCs w:val="22"/>
              </w:rPr>
              <w:t xml:space="preserve"> s identifikáciou kráv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54A9C24C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9A4D42">
        <w:rPr>
          <w:rFonts w:asciiTheme="minorHAnsi" w:hAnsiTheme="minorHAnsi" w:cstheme="minorHAnsi"/>
          <w:sz w:val="22"/>
          <w:szCs w:val="22"/>
        </w:rPr>
        <w:t>20</w:t>
      </w:r>
      <w:r w:rsidR="00992CA4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% z ceny predmetu zákazky.  </w:t>
      </w:r>
    </w:p>
    <w:p w14:paraId="4A4BBA2C" w14:textId="6656B78A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0FE2AB0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>Týmto nie je dotknuté právo kupujúceho 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6F4956E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kupujúci dostane do omeškania s platením dohodnutej kúpnej ceny tovaru, zaväzuje sa zaplatiť predávajúcemu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3266D" w14:textId="77777777" w:rsidR="000D3E0F" w:rsidRDefault="000D3E0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F524A2" w14:textId="3BB76464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15A7D5E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7C0CA2" w:rsidRPr="009A4D42">
        <w:rPr>
          <w:rFonts w:asciiTheme="minorHAnsi" w:hAnsiTheme="minorHAnsi" w:cstheme="minorHAnsi"/>
          <w:sz w:val="22"/>
          <w:szCs w:val="22"/>
        </w:rPr>
        <w:t>12</w:t>
      </w:r>
      <w:r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05AF74D5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36705806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0BCCF82B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predávajúci nedodrží kritériá, na základe ktorých v rámci verejného obstarávania zákazku získal, je povinný uhradiť kupujúcemu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BFA97F5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D78C876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0DA3" w14:textId="77777777" w:rsidR="00DA579E" w:rsidRDefault="00DA579E">
      <w:r>
        <w:separator/>
      </w:r>
    </w:p>
  </w:endnote>
  <w:endnote w:type="continuationSeparator" w:id="0">
    <w:p w14:paraId="49D004AE" w14:textId="77777777" w:rsidR="00DA579E" w:rsidRDefault="00DA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E57F0" w14:textId="77777777" w:rsidR="00DA579E" w:rsidRDefault="00DA579E">
      <w:r>
        <w:separator/>
      </w:r>
    </w:p>
  </w:footnote>
  <w:footnote w:type="continuationSeparator" w:id="0">
    <w:p w14:paraId="77813F76" w14:textId="77777777" w:rsidR="00DA579E" w:rsidRDefault="00DA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B27FC"/>
    <w:rsid w:val="000B762B"/>
    <w:rsid w:val="000D3E0F"/>
    <w:rsid w:val="000D74B5"/>
    <w:rsid w:val="000E6B14"/>
    <w:rsid w:val="00101137"/>
    <w:rsid w:val="0013145A"/>
    <w:rsid w:val="0017117C"/>
    <w:rsid w:val="00183153"/>
    <w:rsid w:val="00193688"/>
    <w:rsid w:val="001E622D"/>
    <w:rsid w:val="00227879"/>
    <w:rsid w:val="00253B98"/>
    <w:rsid w:val="0025634D"/>
    <w:rsid w:val="00281284"/>
    <w:rsid w:val="00282322"/>
    <w:rsid w:val="0028257E"/>
    <w:rsid w:val="002A252E"/>
    <w:rsid w:val="002A3920"/>
    <w:rsid w:val="002B4C1A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D57F3"/>
    <w:rsid w:val="00532CA6"/>
    <w:rsid w:val="005746CE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32081"/>
    <w:rsid w:val="00852CA9"/>
    <w:rsid w:val="00863E7F"/>
    <w:rsid w:val="00884050"/>
    <w:rsid w:val="00884BD6"/>
    <w:rsid w:val="008A636A"/>
    <w:rsid w:val="008F2255"/>
    <w:rsid w:val="0091132D"/>
    <w:rsid w:val="00920036"/>
    <w:rsid w:val="0092308B"/>
    <w:rsid w:val="00934584"/>
    <w:rsid w:val="00937500"/>
    <w:rsid w:val="00945F1E"/>
    <w:rsid w:val="00961508"/>
    <w:rsid w:val="00976491"/>
    <w:rsid w:val="00992CA4"/>
    <w:rsid w:val="009A4D42"/>
    <w:rsid w:val="009B238B"/>
    <w:rsid w:val="009C6478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D7FA8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5636B"/>
    <w:rsid w:val="00D71840"/>
    <w:rsid w:val="00D90762"/>
    <w:rsid w:val="00DA579E"/>
    <w:rsid w:val="00DC2733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F41E7B"/>
    <w:rsid w:val="00F62CEB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12</cp:revision>
  <cp:lastPrinted>2019-02-06T16:14:00Z</cp:lastPrinted>
  <dcterms:created xsi:type="dcterms:W3CDTF">2022-10-12T13:13:00Z</dcterms:created>
  <dcterms:modified xsi:type="dcterms:W3CDTF">2022-12-06T21:04:00Z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