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796475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  </w:t>
      </w:r>
      <w:r w:rsidR="00980639">
        <w:rPr>
          <w:rFonts w:ascii="Calibri" w:eastAsia="Times New Roman" w:hAnsi="Calibri" w:cs="Calibri"/>
          <w:b/>
          <w:bCs/>
          <w:lang w:eastAsia="sk-SK"/>
        </w:rPr>
        <w:t>.................................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 w:rsidR="00DF25B6">
        <w:rPr>
          <w:rFonts w:ascii="Calibri" w:eastAsia="Times New Roman" w:hAnsi="Calibri" w:cs="Calibri"/>
          <w:lang w:eastAsia="sk-SK"/>
        </w:rPr>
        <w:t xml:space="preserve">                  </w:t>
      </w:r>
    </w:p>
    <w:p w:rsidR="009F48B9" w:rsidRPr="0034095C" w:rsidRDefault="00980639" w:rsidP="0098063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>
        <w:rPr>
          <w:rFonts w:ascii="Calibri" w:eastAsia="Times New Roman" w:hAnsi="Calibri" w:cs="Calibri"/>
          <w:lang w:eastAsia="sk-SK"/>
        </w:rPr>
        <w:tab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 S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BIC kód (SWIFT): C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 súdu v</w:t>
      </w:r>
      <w:r w:rsidR="00DF25B6">
        <w:rPr>
          <w:rFonts w:ascii="Calibri" w:eastAsia="Times New Roman" w:hAnsi="Calibri" w:cs="Calibri"/>
          <w:lang w:eastAsia="sk-SK"/>
        </w:rPr>
        <w:t xml:space="preserve">         </w:t>
      </w:r>
      <w:r>
        <w:rPr>
          <w:rFonts w:ascii="Calibri" w:eastAsia="Times New Roman" w:hAnsi="Calibri" w:cs="Calibri"/>
          <w:lang w:eastAsia="sk-SK"/>
        </w:rPr>
        <w:t xml:space="preserve">, 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 w:rsidR="00DF25B6">
        <w:rPr>
          <w:rFonts w:ascii="Calibri" w:eastAsia="Times New Roman" w:hAnsi="Calibri" w:cs="Calibri"/>
          <w:lang w:eastAsia="sk-SK"/>
        </w:rPr>
        <w:t xml:space="preserve">   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:rsidR="00DF25B6" w:rsidRPr="0034095C" w:rsidRDefault="00D770F2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  <w:t>o</w:t>
      </w:r>
      <w:r w:rsidR="00465C20">
        <w:rPr>
          <w:rFonts w:ascii="Calibri" w:eastAsia="Times New Roman" w:hAnsi="Calibri" w:cs="Calibri"/>
          <w:b/>
          <w:bCs/>
          <w:lang w:eastAsia="sk-SK"/>
        </w:rPr>
        <w:t xml:space="preserve">rganizačná zložka </w:t>
      </w:r>
      <w:r>
        <w:rPr>
          <w:rFonts w:ascii="Calibri" w:eastAsia="Times New Roman" w:hAnsi="Calibri" w:cs="Calibri"/>
          <w:b/>
          <w:bCs/>
          <w:lang w:eastAsia="sk-SK"/>
        </w:rPr>
        <w:t xml:space="preserve">OZ </w:t>
      </w:r>
      <w:r w:rsidR="00465C20">
        <w:rPr>
          <w:rFonts w:ascii="Calibri" w:eastAsia="Times New Roman" w:hAnsi="Calibri" w:cs="Calibri"/>
          <w:b/>
          <w:bCs/>
          <w:lang w:eastAsia="sk-SK"/>
        </w:rPr>
        <w:t>Tríbeč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2B2805">
        <w:rPr>
          <w:rFonts w:ascii="Calibri" w:eastAsia="Times New Roman" w:hAnsi="Calibri" w:cs="Calibri"/>
          <w:lang w:eastAsia="sk-SK"/>
        </w:rPr>
        <w:t>Topoľčianky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proofErr w:type="spellStart"/>
      <w:r w:rsidR="002B2805">
        <w:rPr>
          <w:rFonts w:ascii="Calibri" w:eastAsia="Times New Roman" w:hAnsi="Calibri" w:cs="Calibri"/>
          <w:lang w:eastAsia="sk-SK"/>
        </w:rPr>
        <w:t>Ing.</w:t>
      </w:r>
      <w:r w:rsidR="00364C9B">
        <w:rPr>
          <w:rFonts w:ascii="Calibri" w:eastAsia="Times New Roman" w:hAnsi="Calibri" w:cs="Calibri"/>
          <w:lang w:eastAsia="sk-SK"/>
        </w:rPr>
        <w:t>Daniel</w:t>
      </w:r>
      <w:proofErr w:type="spellEnd"/>
      <w:r w:rsidR="00364C9B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364C9B">
        <w:rPr>
          <w:rFonts w:ascii="Calibri" w:eastAsia="Times New Roman" w:hAnsi="Calibri" w:cs="Calibri"/>
          <w:lang w:eastAsia="sk-SK"/>
        </w:rPr>
        <w:t>Benček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564258">
        <w:rPr>
          <w:rFonts w:ascii="Calibri" w:eastAsia="Times New Roman" w:hAnsi="Calibri" w:cs="Calibri"/>
          <w:lang w:eastAsia="sk-SK"/>
        </w:rPr>
        <w:t>+421 918 333 576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 w:rsidR="00564258" w:rsidRPr="002B2805">
        <w:rPr>
          <w:rFonts w:ascii="Calibri" w:eastAsia="Times New Roman" w:hAnsi="Calibri" w:cs="Calibri"/>
          <w:lang w:eastAsia="sk-SK"/>
        </w:rPr>
        <w:t>360 38 351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 </w:t>
      </w:r>
      <w:r w:rsidR="002B2805" w:rsidRPr="002B2805">
        <w:rPr>
          <w:rFonts w:ascii="Calibri" w:eastAsia="Times New Roman" w:hAnsi="Calibri" w:cs="Calibri"/>
          <w:lang w:eastAsia="sk-SK"/>
        </w:rPr>
        <w:t>SK 2020087982</w:t>
      </w:r>
      <w:r w:rsidR="002B2805" w:rsidRPr="00F07B8F">
        <w:rPr>
          <w:rStyle w:val="Siln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 w:rsidR="002B2805" w:rsidRPr="002B2805">
        <w:rPr>
          <w:rFonts w:ascii="Calibri" w:eastAsia="Times New Roman" w:hAnsi="Calibri" w:cs="Calibri"/>
          <w:lang w:eastAsia="sk-SK"/>
        </w:rPr>
        <w:t>VÚB, a.s.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 w:rsidR="002B2805" w:rsidRPr="002B2805">
        <w:rPr>
          <w:rFonts w:ascii="Calibri" w:eastAsia="Times New Roman" w:hAnsi="Calibri" w:cs="Calibri"/>
          <w:lang w:eastAsia="sk-SK"/>
        </w:rPr>
        <w:t>SUBASKBX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7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3402"/>
        <w:gridCol w:w="2410"/>
      </w:tblGrid>
      <w:tr w:rsidR="009F48B9" w:rsidRPr="0034095C" w:rsidTr="003E4A43">
        <w:trPr>
          <w:trHeight w:hRule="exact" w:val="373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263CDE">
        <w:trPr>
          <w:trHeight w:hRule="exact" w:val="548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840C1D" w:rsidRDefault="004F593E" w:rsidP="00364C9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</w:rPr>
              <w:t>Malý kĺbový nakladač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34095C" w:rsidRDefault="00263CDE" w:rsidP="002A37D9">
            <w:pPr>
              <w:ind w:lef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jeden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  <w:r w:rsidR="00E07FEC">
        <w:rPr>
          <w:rFonts w:ascii="Calibri" w:eastAsia="Times New Roman" w:hAnsi="Calibri" w:cs="Calibri"/>
          <w:lang w:eastAsia="sk-SK"/>
        </w:rPr>
        <w:t xml:space="preserve">Zariadenie uvedené ako predmet zákazky je v stave </w:t>
      </w:r>
      <w:r w:rsidR="00E07FEC" w:rsidRPr="00E07FEC">
        <w:rPr>
          <w:rFonts w:ascii="Calibri" w:eastAsia="Times New Roman" w:hAnsi="Calibri" w:cs="Calibri"/>
          <w:b/>
          <w:lang w:eastAsia="sk-SK"/>
        </w:rPr>
        <w:t>NOVÝ</w:t>
      </w:r>
      <w:r w:rsidR="00E07FEC">
        <w:rPr>
          <w:rFonts w:ascii="Calibri" w:eastAsia="Times New Roman" w:hAnsi="Calibri" w:cs="Calibri"/>
          <w:lang w:eastAsia="sk-SK"/>
        </w:rPr>
        <w:t xml:space="preserve"> , čiže zatiaľ </w:t>
      </w:r>
      <w:r w:rsidR="00E07FEC" w:rsidRPr="00E07FEC">
        <w:rPr>
          <w:rFonts w:ascii="Calibri" w:eastAsia="Times New Roman" w:hAnsi="Calibri" w:cs="Calibri"/>
          <w:b/>
          <w:lang w:eastAsia="sk-SK"/>
        </w:rPr>
        <w:t>NEPOÚŽÍVANÝ</w:t>
      </w:r>
      <w:r w:rsidR="00E07FEC">
        <w:rPr>
          <w:rFonts w:ascii="Calibri" w:eastAsia="Times New Roman" w:hAnsi="Calibri" w:cs="Calibri"/>
          <w:lang w:eastAsia="sk-SK"/>
        </w:rPr>
        <w:t>.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9F48B9" w:rsidRPr="00F63D89" w:rsidRDefault="009F48B9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9F48B9" w:rsidRPr="00AE6072" w:rsidRDefault="009F48B9" w:rsidP="009F48B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>Dodanie dokumentácie</w:t>
      </w:r>
      <w:r w:rsidRPr="00AE6072">
        <w:t xml:space="preserve"> </w:t>
      </w:r>
      <w:r w:rsidRPr="00AE6072">
        <w:rPr>
          <w:rFonts w:ascii="Calibri" w:eastAsia="Times New Roman" w:hAnsi="Calibri" w:cs="Calibri"/>
          <w:color w:val="000000"/>
          <w:lang w:eastAsia="sk-SK"/>
        </w:rPr>
        <w:t>v slovenskom alebo českom jazyku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262A9F">
        <w:rPr>
          <w:rFonts w:ascii="Calibri" w:eastAsia="Times New Roman" w:hAnsi="Calibri" w:cs="Calibri"/>
          <w:color w:val="000000"/>
          <w:lang w:eastAsia="sk-SK"/>
        </w:rPr>
        <w:t>(pokiaľ nie je uvedené inak)</w:t>
      </w: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: 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ED2083">
        <w:rPr>
          <w:rFonts w:eastAsia="Calibri" w:cs="Times New Roman"/>
        </w:rPr>
        <w:lastRenderedPageBreak/>
        <w:t>certifikát stroja platný v krajinách EU (vyhlásenie o zhode) COC - ES osvedčenie o zhode podľa smernice 70/156/EHS v platnom znení v slovenskom jazyku alebo úradne preložené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návod na obsluhu</w:t>
      </w:r>
      <w:r w:rsidR="00527412">
        <w:rPr>
          <w:rFonts w:ascii="Calibri" w:eastAsia="Calibri" w:hAnsi="Calibri"/>
          <w:bCs/>
        </w:rPr>
        <w:t xml:space="preserve"> v slovenskom , alebo v českom jazyku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návod na opravy a údržby, v prípade potreby základné obslužné náradie a najnutnejšie náhradné diely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zásady bezpečnosti práce pri prevádzke, opravách a údržbách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katalóg náhradných dielov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hAnsi="Calibri"/>
          <w:lang w:eastAsia="zh-CN"/>
        </w:rPr>
      </w:pPr>
      <w:r w:rsidRPr="00FB7ECF">
        <w:rPr>
          <w:rFonts w:ascii="Calibri" w:eastAsia="Calibri" w:hAnsi="Calibri"/>
          <w:bCs/>
        </w:rPr>
        <w:t>mazací plán</w:t>
      </w:r>
    </w:p>
    <w:p w:rsidR="009F48B9" w:rsidRDefault="009F48B9" w:rsidP="009F48B9">
      <w:pPr>
        <w:spacing w:after="0" w:line="240" w:lineRule="auto"/>
        <w:ind w:left="1843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4322EA" w:rsidRDefault="009F48B9" w:rsidP="009F48B9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9F48B9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Zaškolenie obsluhy na dodávaný </w:t>
      </w:r>
      <w:r w:rsidR="00796475">
        <w:rPr>
          <w:rFonts w:ascii="Calibri" w:eastAsia="Calibri" w:hAnsi="Calibri" w:cs="Times New Roman"/>
        </w:rPr>
        <w:t>tovar</w:t>
      </w:r>
      <w:r>
        <w:rPr>
          <w:rFonts w:ascii="Calibri" w:eastAsia="Calibri" w:hAnsi="Calibri" w:cs="Times New Roman"/>
        </w:rPr>
        <w:t xml:space="preserve"> </w:t>
      </w:r>
      <w:r w:rsidRPr="00EE1B5C">
        <w:rPr>
          <w:rFonts w:ascii="Calibri" w:eastAsia="Calibri" w:hAnsi="Calibri" w:cs="Times New Roman"/>
        </w:rPr>
        <w:t>v trvaní minimálne jedného pracovného dňa vrátane praktického zácviku o čom bude spísaný písomný záznam</w:t>
      </w:r>
      <w:r>
        <w:rPr>
          <w:rFonts w:ascii="Calibri" w:eastAsia="Calibri" w:hAnsi="Calibri" w:cs="Times New Roman"/>
        </w:rPr>
        <w:t xml:space="preserve">. </w:t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0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5071"/>
        <w:gridCol w:w="1417"/>
        <w:gridCol w:w="1139"/>
        <w:gridCol w:w="1304"/>
        <w:gridCol w:w="646"/>
      </w:tblGrid>
      <w:tr w:rsidR="009F48B9" w:rsidRPr="0034095C" w:rsidTr="009F48B9">
        <w:trPr>
          <w:trHeight w:val="90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9F48B9" w:rsidRPr="0034095C" w:rsidTr="009F48B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683952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17721E">
        <w:rPr>
          <w:rFonts w:ascii="Calibri" w:eastAsia="Times New Roman" w:hAnsi="Calibri" w:cs="Calibri"/>
          <w:b/>
          <w:bCs/>
          <w:lang w:eastAsia="sk-SK"/>
        </w:rPr>
        <w:t>.......................</w:t>
      </w:r>
      <w:r w:rsidR="00DF25B6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>,-€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 </w:t>
      </w:r>
      <w:r w:rsidR="0017721E">
        <w:rPr>
          <w:rFonts w:ascii="Calibri" w:eastAsia="Times New Roman" w:hAnsi="Calibri" w:cs="Calibri"/>
          <w:b/>
          <w:bCs/>
          <w:lang w:eastAsia="sk-SK"/>
        </w:rPr>
        <w:t xml:space="preserve">...............................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Pr="0034095C">
        <w:rPr>
          <w:rFonts w:ascii="Calibri" w:eastAsia="Times New Roman" w:hAnsi="Calibri" w:cs="Calibri"/>
          <w:lang w:eastAsia="sk-SK"/>
        </w:rPr>
        <w:t xml:space="preserve">pecifikácia kúpnej ceny je obsahom </w:t>
      </w:r>
      <w:r w:rsidRPr="003E4A43">
        <w:rPr>
          <w:rFonts w:ascii="Calibri" w:eastAsia="Times New Roman" w:hAnsi="Calibri" w:cs="Calibri"/>
          <w:b/>
          <w:lang w:eastAsia="sk-SK"/>
        </w:rPr>
        <w:t>prílohy č.1</w:t>
      </w:r>
      <w:r w:rsidRPr="0034095C">
        <w:rPr>
          <w:rFonts w:ascii="Calibri" w:eastAsia="Times New Roman" w:hAnsi="Calibri" w:cs="Calibri"/>
          <w:lang w:eastAsia="sk-SK"/>
        </w:rPr>
        <w:t xml:space="preserve"> - </w:t>
      </w:r>
      <w:r w:rsidRPr="00744FA5">
        <w:rPr>
          <w:rFonts w:ascii="Calibri" w:eastAsia="Times New Roman" w:hAnsi="Calibri" w:cs="Calibri"/>
          <w:lang w:eastAsia="sk-SK"/>
        </w:rPr>
        <w:t xml:space="preserve">Technická a cenová špecifikácia predmetu </w:t>
      </w:r>
      <w:r w:rsidR="003E4A43">
        <w:rPr>
          <w:rFonts w:ascii="Calibri" w:eastAsia="Times New Roman" w:hAnsi="Calibri" w:cs="Calibri"/>
          <w:lang w:eastAsia="sk-SK"/>
        </w:rPr>
        <w:t>z</w:t>
      </w:r>
      <w:r w:rsidRPr="00744FA5">
        <w:rPr>
          <w:rFonts w:ascii="Calibri" w:eastAsia="Times New Roman" w:hAnsi="Calibri" w:cs="Calibri"/>
          <w:lang w:eastAsia="sk-SK"/>
        </w:rPr>
        <w:t>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zaškolenia obsluhy, návodu na obsluhu a údržbu, servisného zošita so záručnými podmienkami v slovenskom jazyku kompletného technického osvedčenia vozidla,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LESY Slovenskej republiky, štátni 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9F48B9">
        <w:rPr>
          <w:rFonts w:ascii="Calibri" w:eastAsia="Times New Roman" w:hAnsi="Calibri" w:cs="Calibri"/>
          <w:b/>
          <w:lang w:eastAsia="sk-SK"/>
        </w:rPr>
        <w:t xml:space="preserve"> </w:t>
      </w:r>
      <w:r w:rsidR="00257654">
        <w:rPr>
          <w:rFonts w:ascii="Calibri" w:eastAsia="Times New Roman" w:hAnsi="Calibri" w:cs="Calibri"/>
          <w:b/>
          <w:lang w:eastAsia="sk-SK"/>
        </w:rPr>
        <w:t>120</w:t>
      </w:r>
      <w:bookmarkStart w:id="0" w:name="_GoBack"/>
      <w:bookmarkEnd w:id="0"/>
      <w:r w:rsidR="00EF2E38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9F48B9">
        <w:rPr>
          <w:rFonts w:ascii="Calibri" w:eastAsia="Times New Roman" w:hAnsi="Calibri" w:cs="Calibri"/>
          <w:lang w:eastAsia="sk-SK"/>
        </w:rPr>
        <w:t>tejto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="009F48B9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je:</w:t>
      </w:r>
      <w:r w:rsidR="00263CDE">
        <w:rPr>
          <w:rFonts w:ascii="Calibri" w:eastAsia="Times New Roman" w:hAnsi="Calibri" w:cs="Calibri"/>
          <w:lang w:eastAsia="sk-SK"/>
        </w:rPr>
        <w:t xml:space="preserve"> </w:t>
      </w:r>
      <w:r w:rsidR="009E7ED1" w:rsidRPr="009E7ED1">
        <w:rPr>
          <w:rFonts w:ascii="Calibri" w:eastAsia="Times New Roman" w:hAnsi="Calibri" w:cs="Calibri"/>
          <w:lang w:eastAsia="sk-SK"/>
        </w:rPr>
        <w:t>Lesy Slovenskej republiky, štátny podnik,  Organizačná zložka Tríbeč, Stredisko služieb ,Parková 4,   951 93 Topoľčianky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ktorým je pre účely tejto zmluvy</w:t>
      </w:r>
      <w:r w:rsidR="00263CDE">
        <w:rPr>
          <w:rFonts w:ascii="Calibri" w:eastAsia="Times New Roman" w:hAnsi="Calibri" w:cs="Calibri"/>
          <w:lang w:eastAsia="sk-SK"/>
        </w:rPr>
        <w:t xml:space="preserve"> Oto Tinák</w:t>
      </w:r>
      <w:r w:rsidR="00EF2E38">
        <w:rPr>
          <w:rFonts w:ascii="Calibri" w:eastAsia="Times New Roman" w:hAnsi="Calibri" w:cs="Calibri"/>
          <w:lang w:eastAsia="sk-SK"/>
        </w:rPr>
        <w:t xml:space="preserve">, tel.: </w:t>
      </w:r>
      <w:r w:rsidR="00263CDE">
        <w:rPr>
          <w:rFonts w:ascii="Calibri" w:eastAsia="Times New Roman" w:hAnsi="Calibri" w:cs="Calibri"/>
          <w:lang w:eastAsia="sk-SK"/>
        </w:rPr>
        <w:t>+421 918 334 089</w:t>
      </w:r>
      <w:r w:rsidRPr="0034095C">
        <w:rPr>
          <w:rFonts w:ascii="Calibri" w:eastAsia="Times New Roman" w:hAnsi="Calibri" w:cs="Calibri"/>
          <w:lang w:eastAsia="sk-SK"/>
        </w:rPr>
        <w:t xml:space="preserve">, e-mail: </w:t>
      </w:r>
      <w:r w:rsidR="00263CDE">
        <w:rPr>
          <w:rFonts w:ascii="Calibri" w:eastAsia="Times New Roman" w:hAnsi="Calibri" w:cs="Calibri"/>
          <w:lang w:eastAsia="sk-SK"/>
        </w:rPr>
        <w:t>oto.tinak@lesy.sk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>dodávaného lesného kolesového traktora a tento</w:t>
      </w:r>
      <w:r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D770F2" w:rsidRPr="00D770F2">
        <w:rPr>
          <w:rFonts w:ascii="Calibri" w:eastAsia="Times New Roman" w:hAnsi="Calibri" w:cs="Calibri"/>
          <w:b/>
          <w:lang w:eastAsia="sk-SK"/>
        </w:rPr>
        <w:t>24</w:t>
      </w:r>
      <w:r w:rsidR="00EF2E38" w:rsidRPr="00E714F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592BA3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</w:t>
      </w:r>
      <w:r w:rsidR="00364C9B">
        <w:rPr>
          <w:rFonts w:ascii="Calibri" w:eastAsia="Calibri" w:hAnsi="Calibri" w:cs="Times New Roman"/>
          <w:lang w:eastAsia="sk-SK"/>
        </w:rPr>
        <w:t>dobu troch</w:t>
      </w:r>
      <w:r w:rsidR="00E714FE" w:rsidRPr="000D4862">
        <w:rPr>
          <w:rFonts w:ascii="Calibri" w:eastAsia="Calibri" w:hAnsi="Calibri" w:cs="Times New Roman"/>
          <w:lang w:eastAsia="sk-SK"/>
        </w:rPr>
        <w:t xml:space="preserve"> </w:t>
      </w:r>
      <w:r w:rsidR="0017721E" w:rsidRPr="000D4862">
        <w:rPr>
          <w:rFonts w:ascii="Calibri" w:eastAsia="Calibri" w:hAnsi="Calibri" w:cs="Times New Roman"/>
          <w:lang w:eastAsia="sk-SK"/>
        </w:rPr>
        <w:t>rokov 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EF2E38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:rsidR="000D4862" w:rsidRDefault="000D4862" w:rsidP="00EF2E3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0D4862" w:rsidRPr="0034095C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:rsidR="009F48B9" w:rsidRPr="00E714FE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ak nie je uvedené v čl. I. predmet zmluvy)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podľa druhu obstarávaného tovaru)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  <w:r w:rsidR="00E714FE">
        <w:rPr>
          <w:rFonts w:ascii="Calibri" w:eastAsia="Times New Roman" w:hAnsi="Calibri" w:cs="Calibri"/>
          <w:lang w:eastAsia="sk-SK"/>
        </w:rPr>
        <w:t xml:space="preserve">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podľa druhu obstarávaného tovaru)</w:t>
      </w:r>
    </w:p>
    <w:p w:rsidR="009F48B9" w:rsidRPr="00E714FE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4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  <w:r w:rsidR="00E714FE">
        <w:rPr>
          <w:rFonts w:ascii="Calibri" w:eastAsia="Times New Roman" w:hAnsi="Calibri" w:cs="Calibri"/>
          <w:lang w:eastAsia="sk-SK"/>
        </w:rPr>
        <w:t xml:space="preserve">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( </w:t>
      </w:r>
      <w:r w:rsidR="00E714FE">
        <w:rPr>
          <w:rFonts w:ascii="Calibri" w:eastAsia="Times New Roman" w:hAnsi="Calibri" w:cs="Calibri"/>
          <w:color w:val="FF0000"/>
          <w:lang w:eastAsia="sk-SK"/>
        </w:rPr>
        <w:t xml:space="preserve">ak je to potrebné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v </w:t>
      </w:r>
      <w:r w:rsidR="00E714FE">
        <w:rPr>
          <w:rFonts w:ascii="Calibri" w:eastAsia="Times New Roman" w:hAnsi="Calibri" w:cs="Calibri"/>
          <w:color w:val="FF0000"/>
          <w:lang w:eastAsia="sk-SK"/>
        </w:rPr>
        <w:t xml:space="preserve">zmysle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zákon</w:t>
      </w:r>
      <w:r w:rsidR="00E714FE">
        <w:rPr>
          <w:rFonts w:ascii="Calibri" w:eastAsia="Times New Roman" w:hAnsi="Calibri" w:cs="Calibri"/>
          <w:color w:val="FF0000"/>
          <w:lang w:eastAsia="sk-SK"/>
        </w:rPr>
        <w:t>a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 343/2015 </w:t>
      </w:r>
      <w:proofErr w:type="spellStart"/>
      <w:r w:rsidR="00E714FE" w:rsidRPr="00E714FE">
        <w:rPr>
          <w:rFonts w:ascii="Calibri" w:eastAsia="Times New Roman" w:hAnsi="Calibri" w:cs="Calibri"/>
          <w:color w:val="FF0000"/>
          <w:lang w:eastAsia="sk-SK"/>
        </w:rPr>
        <w:t>Z.z</w:t>
      </w:r>
      <w:proofErr w:type="spellEnd"/>
      <w:r w:rsidR="00E714FE" w:rsidRPr="00E714FE">
        <w:rPr>
          <w:rFonts w:ascii="Calibri" w:eastAsia="Times New Roman" w:hAnsi="Calibri" w:cs="Calibri"/>
          <w:color w:val="FF0000"/>
          <w:lang w:eastAsia="sk-SK"/>
        </w:rPr>
        <w:t>. o VO)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r w:rsidR="0017721E">
        <w:rPr>
          <w:rFonts w:ascii="Calibri" w:eastAsia="Times New Roman" w:hAnsi="Calibri" w:cs="Calibri"/>
          <w:lang w:eastAsia="sk-SK"/>
        </w:rPr>
        <w:t>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 </w:t>
      </w:r>
      <w:r w:rsidR="0017721E">
        <w:rPr>
          <w:rFonts w:ascii="Calibri" w:eastAsia="Times New Roman" w:hAnsi="Calibri" w:cs="Calibri"/>
          <w:lang w:eastAsia="sk-SK"/>
        </w:rPr>
        <w:t>.............................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730016" w:rsidRDefault="00730016" w:rsidP="0017721E">
      <w:pPr>
        <w:tabs>
          <w:tab w:val="center" w:pos="4536"/>
        </w:tabs>
        <w:spacing w:after="0"/>
      </w:pPr>
      <w:r>
        <w:tab/>
        <w:t xml:space="preserve">                                                 </w:t>
      </w:r>
    </w:p>
    <w:p w:rsidR="00730016" w:rsidRDefault="00730016" w:rsidP="00730016">
      <w:pPr>
        <w:tabs>
          <w:tab w:val="left" w:pos="4995"/>
        </w:tabs>
        <w:spacing w:after="0"/>
      </w:pPr>
      <w:r>
        <w:tab/>
      </w:r>
    </w:p>
    <w:p w:rsidR="004F593E" w:rsidRDefault="00730016" w:rsidP="00730016">
      <w:pPr>
        <w:tabs>
          <w:tab w:val="left" w:pos="4995"/>
        </w:tabs>
      </w:pPr>
      <w:r>
        <w:tab/>
      </w:r>
      <w:r>
        <w:tab/>
      </w:r>
    </w:p>
    <w:p w:rsidR="004F593E" w:rsidRDefault="004F593E" w:rsidP="00730016">
      <w:pPr>
        <w:tabs>
          <w:tab w:val="left" w:pos="4995"/>
        </w:tabs>
      </w:pPr>
    </w:p>
    <w:p w:rsidR="004F593E" w:rsidRDefault="004F593E" w:rsidP="00730016">
      <w:pPr>
        <w:tabs>
          <w:tab w:val="left" w:pos="4995"/>
        </w:tabs>
      </w:pPr>
    </w:p>
    <w:p w:rsidR="004F593E" w:rsidRDefault="004F593E" w:rsidP="00730016">
      <w:pPr>
        <w:tabs>
          <w:tab w:val="left" w:pos="4995"/>
        </w:tabs>
      </w:pPr>
    </w:p>
    <w:p w:rsidR="004F593E" w:rsidRDefault="004F593E" w:rsidP="00730016">
      <w:pPr>
        <w:tabs>
          <w:tab w:val="left" w:pos="4995"/>
        </w:tabs>
      </w:pPr>
    </w:p>
    <w:p w:rsidR="004F593E" w:rsidRPr="00CF2FDC" w:rsidRDefault="004F593E" w:rsidP="004F593E">
      <w:pPr>
        <w:rPr>
          <w:b/>
        </w:rPr>
      </w:pPr>
      <w:r>
        <w:rPr>
          <w:b/>
        </w:rPr>
        <w:t xml:space="preserve">Príloha č.1 : </w:t>
      </w:r>
      <w:r w:rsidRPr="00CF2FDC">
        <w:rPr>
          <w:b/>
        </w:rPr>
        <w:t>Technická špecifikácia predmetu zákazky</w:t>
      </w:r>
    </w:p>
    <w:p w:rsidR="004F593E" w:rsidRDefault="004F593E" w:rsidP="004F593E">
      <w:r>
        <w:t xml:space="preserve">Nový kĺbový nakladač – Univerzálny nosič  náradia (Avant600, alebo jeho ekvivalent)vybavený: 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Kĺbová konštrukcia stroja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Výkon motora min 32 kW 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Krútiaci moment motora min 115 Nm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Stály pohon všetkých kolies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Hydromotor</w:t>
      </w:r>
      <w:proofErr w:type="spellEnd"/>
      <w:r>
        <w:rPr>
          <w:rFonts w:eastAsia="Times New Roman"/>
        </w:rPr>
        <w:t xml:space="preserve"> v každom kolese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Ventil na zabránenie </w:t>
      </w:r>
      <w:proofErr w:type="spellStart"/>
      <w:r>
        <w:rPr>
          <w:rFonts w:eastAsia="Times New Roman"/>
        </w:rPr>
        <w:t>preklzu</w:t>
      </w:r>
      <w:proofErr w:type="spellEnd"/>
      <w:r>
        <w:rPr>
          <w:rFonts w:eastAsia="Times New Roman"/>
        </w:rPr>
        <w:t xml:space="preserve"> kolies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Pevný ochranný rám na </w:t>
      </w:r>
      <w:proofErr w:type="spellStart"/>
      <w:r>
        <w:rPr>
          <w:rFonts w:eastAsia="Times New Roman"/>
        </w:rPr>
        <w:t>kokpite</w:t>
      </w:r>
      <w:proofErr w:type="spellEnd"/>
      <w:r>
        <w:rPr>
          <w:rFonts w:eastAsia="Times New Roman"/>
        </w:rPr>
        <w:t xml:space="preserve"> so strechou, certifikovaný ROPS/FOPS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Pracovný priestor obsluhy chránený z troch strán pevným, bezpečnostným sklom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Odpružená sedačka obsluhy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Pracovné svetlá na ochrannom ráme, min 2 ks vpredu a 1 ks vzadu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Pojazdová</w:t>
      </w:r>
      <w:proofErr w:type="spellEnd"/>
      <w:r>
        <w:rPr>
          <w:rFonts w:eastAsia="Times New Roman"/>
        </w:rPr>
        <w:t xml:space="preserve"> rýchlosť min 12 km/hod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Pracovné funkcie stroja ovládané výhradne z miesta obsluhy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Multifunkčný ovládací panel pre kontrolu funkcií stroja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Multifunkčná páka na ovládanie pracovných funkcií náradia, min 6 funkcií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Viacúčelový display na kontrolu prevádzkových parametrov stroja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Rýchloupínacia pracovná doska na rýchlu výmenu náradia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Rýchloupínací pákový systém na pripojenie </w:t>
      </w:r>
      <w:proofErr w:type="spellStart"/>
      <w:r>
        <w:rPr>
          <w:rFonts w:eastAsia="Times New Roman"/>
        </w:rPr>
        <w:t>hydr</w:t>
      </w:r>
      <w:proofErr w:type="spellEnd"/>
      <w:r>
        <w:rPr>
          <w:rFonts w:eastAsia="Times New Roman"/>
        </w:rPr>
        <w:t>. funkcií náradia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Pracovné čerpadlo na pohon aktívneho náradia min. 2 ks, s výkonom min 70 l/min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Pracovný tlak hydraulického systému min 205 bar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Samostatné hydraulické čerpadlo na pojazd, nezávislé na pracovnom čerpadle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Možnosť meniť pracovné účely stroja rýchlou výmenou náradia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Teleskopicky výsuvné rameno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Dosah ramena pri max vysunutí ramena min 2800 mm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Sila zdvihu na ramene min 1050 kg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Integrované zadné závažie min 170 kg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Možnosť doplnenia prídavného závažia o ďalších min 180 kg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Celková hmotnosť stroja bez prídavného závažia max 1650 kg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Max šírka stroja 1250 mm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Max dĺžka stroja 2650 mm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Max výška stroja 2100 mm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Svetlá výška stroja/priechodnosť min 270 mm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Vymeniteľné zariadenie na manipuláciu s paletovým tovarom s dĺžkou lyžín min 1200 mm a s nosnosťou min 1800 kg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Vymeniteľné zariadenie na manipuláciu so sypkými materiálmi so záberom min 1400 mm a s objemom min. 400 l</w:t>
      </w:r>
    </w:p>
    <w:p w:rsidR="004F593E" w:rsidRDefault="004F593E" w:rsidP="004F593E">
      <w:pPr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Zaškolenie obsluhy a uvedenie do prevádzky</w:t>
      </w:r>
    </w:p>
    <w:p w:rsidR="004F593E" w:rsidRDefault="004F593E" w:rsidP="00730016">
      <w:pPr>
        <w:tabs>
          <w:tab w:val="left" w:pos="4995"/>
        </w:tabs>
      </w:pPr>
    </w:p>
    <w:p w:rsidR="00730016" w:rsidRPr="00730016" w:rsidRDefault="00730016" w:rsidP="00730016">
      <w:pPr>
        <w:tabs>
          <w:tab w:val="left" w:pos="4995"/>
        </w:tabs>
      </w:pPr>
      <w:r>
        <w:tab/>
      </w:r>
    </w:p>
    <w:sectPr w:rsidR="00730016" w:rsidRPr="00730016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43" w:rsidRDefault="00C42943" w:rsidP="00F14F05">
      <w:pPr>
        <w:spacing w:after="0" w:line="240" w:lineRule="auto"/>
      </w:pPr>
      <w:r>
        <w:separator/>
      </w:r>
    </w:p>
  </w:endnote>
  <w:endnote w:type="continuationSeparator" w:id="0">
    <w:p w:rsidR="00C42943" w:rsidRDefault="00C42943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470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4862" w:rsidRDefault="000D4862" w:rsidP="000D4862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65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65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ABC" w:rsidRPr="00FD0ABC" w:rsidRDefault="00FD0ABC" w:rsidP="00FD0A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43" w:rsidRDefault="00C42943" w:rsidP="00F14F05">
      <w:pPr>
        <w:spacing w:after="0" w:line="240" w:lineRule="auto"/>
      </w:pPr>
      <w:r>
        <w:separator/>
      </w:r>
    </w:p>
  </w:footnote>
  <w:footnote w:type="continuationSeparator" w:id="0">
    <w:p w:rsidR="00C42943" w:rsidRDefault="00C42943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1E53F2A"/>
    <w:multiLevelType w:val="hybridMultilevel"/>
    <w:tmpl w:val="3482C0BE"/>
    <w:lvl w:ilvl="0" w:tplc="BD82C7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91B58"/>
    <w:rsid w:val="000A54B8"/>
    <w:rsid w:val="000D4862"/>
    <w:rsid w:val="0010427C"/>
    <w:rsid w:val="0017721E"/>
    <w:rsid w:val="001A5354"/>
    <w:rsid w:val="001B1851"/>
    <w:rsid w:val="00206EEE"/>
    <w:rsid w:val="00257654"/>
    <w:rsid w:val="00263CDE"/>
    <w:rsid w:val="002959D2"/>
    <w:rsid w:val="002B2805"/>
    <w:rsid w:val="00350FCA"/>
    <w:rsid w:val="00364C9B"/>
    <w:rsid w:val="003E4A43"/>
    <w:rsid w:val="00465C20"/>
    <w:rsid w:val="004F593E"/>
    <w:rsid w:val="004F74B8"/>
    <w:rsid w:val="00527412"/>
    <w:rsid w:val="00564258"/>
    <w:rsid w:val="005A6253"/>
    <w:rsid w:val="005F4C86"/>
    <w:rsid w:val="006408FD"/>
    <w:rsid w:val="00641BBE"/>
    <w:rsid w:val="006A5AE3"/>
    <w:rsid w:val="006B27CB"/>
    <w:rsid w:val="00730016"/>
    <w:rsid w:val="00740B34"/>
    <w:rsid w:val="00796475"/>
    <w:rsid w:val="008372EF"/>
    <w:rsid w:val="008C20D3"/>
    <w:rsid w:val="008C23AC"/>
    <w:rsid w:val="0093262D"/>
    <w:rsid w:val="009365A0"/>
    <w:rsid w:val="00980639"/>
    <w:rsid w:val="009D3BB8"/>
    <w:rsid w:val="009E7ED1"/>
    <w:rsid w:val="009F48B9"/>
    <w:rsid w:val="00B14793"/>
    <w:rsid w:val="00B65E93"/>
    <w:rsid w:val="00B9441C"/>
    <w:rsid w:val="00BB7B88"/>
    <w:rsid w:val="00BC4193"/>
    <w:rsid w:val="00BD0F66"/>
    <w:rsid w:val="00BE2500"/>
    <w:rsid w:val="00C31F11"/>
    <w:rsid w:val="00C42943"/>
    <w:rsid w:val="00D148E0"/>
    <w:rsid w:val="00D770F2"/>
    <w:rsid w:val="00DF25B6"/>
    <w:rsid w:val="00E02BB9"/>
    <w:rsid w:val="00E07FEC"/>
    <w:rsid w:val="00E55794"/>
    <w:rsid w:val="00E714FE"/>
    <w:rsid w:val="00EA4562"/>
    <w:rsid w:val="00ED6AD3"/>
    <w:rsid w:val="00EF2E38"/>
    <w:rsid w:val="00F14F05"/>
    <w:rsid w:val="00FC7F4C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404B2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character" w:styleId="Siln">
    <w:name w:val="Strong"/>
    <w:qFormat/>
    <w:rsid w:val="002B2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Danko, Filip</cp:lastModifiedBy>
  <cp:revision>5</cp:revision>
  <dcterms:created xsi:type="dcterms:W3CDTF">2022-12-13T08:56:00Z</dcterms:created>
  <dcterms:modified xsi:type="dcterms:W3CDTF">2022-12-22T05:34:00Z</dcterms:modified>
</cp:coreProperties>
</file>