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EF9B" w14:textId="5D3B7EB4" w:rsidR="008D3A46" w:rsidRDefault="00660B62">
      <w:r>
        <w:rPr>
          <w:rFonts w:cs="Calibri"/>
          <w:sz w:val="20"/>
          <w:szCs w:val="20"/>
        </w:rPr>
        <w:t xml:space="preserve">Príloha č. 11 </w:t>
      </w:r>
    </w:p>
    <w:p w14:paraId="51E7EF9C" w14:textId="77777777" w:rsidR="008D3A46" w:rsidRDefault="00660B62">
      <w:pPr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FORMULÁR TECHNICKÉHO RIEŠENIA VYBRANÝCH ZARIADENÍ</w:t>
      </w:r>
    </w:p>
    <w:p w14:paraId="51E7EF9D" w14:textId="77777777" w:rsidR="008D3A46" w:rsidRDefault="008D3A46">
      <w:pPr>
        <w:rPr>
          <w:rFonts w:cs="Calibr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8D3A46" w14:paraId="51E7EF9F" w14:textId="77777777">
        <w:trPr>
          <w:trHeight w:val="567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EF9E" w14:textId="77777777" w:rsidR="008D3A46" w:rsidRDefault="00660B62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Formulár technického riešenia</w:t>
            </w:r>
          </w:p>
        </w:tc>
      </w:tr>
      <w:tr w:rsidR="008D3A46" w14:paraId="51E7EFA4" w14:textId="77777777">
        <w:trPr>
          <w:trHeight w:val="277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EFA0" w14:textId="77777777" w:rsidR="008D3A46" w:rsidRDefault="008D3A4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1E7EFA1" w14:textId="77777777" w:rsidR="008D3A46" w:rsidRDefault="00660B62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Názov zákazky: </w:t>
            </w:r>
            <w:bookmarkStart w:id="0" w:name="_Hlk106657028"/>
          </w:p>
          <w:p w14:paraId="51E7EFA2" w14:textId="77777777" w:rsidR="008D3A46" w:rsidRDefault="00660B62">
            <w:pPr>
              <w:spacing w:after="0"/>
            </w:pPr>
            <w:r>
              <w:rPr>
                <w:rFonts w:ascii="Times New Roman" w:hAnsi="Times New Roman"/>
                <w:b/>
              </w:rPr>
              <w:t>Dodávka a inštalácia zariadení na výrobu vodíka PEM elektrolytickým procesom</w:t>
            </w:r>
            <w:bookmarkEnd w:id="0"/>
          </w:p>
          <w:p w14:paraId="51E7EFA3" w14:textId="77777777" w:rsidR="008D3A46" w:rsidRDefault="008D3A46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</w:tbl>
    <w:p w14:paraId="51E7EFA5" w14:textId="77777777" w:rsidR="008D3A46" w:rsidRDefault="008D3A46">
      <w:pPr>
        <w:rPr>
          <w:rFonts w:cs="Calibri"/>
          <w:sz w:val="20"/>
          <w:szCs w:val="20"/>
        </w:rPr>
      </w:pPr>
    </w:p>
    <w:tbl>
      <w:tblPr>
        <w:tblW w:w="9067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6090"/>
      </w:tblGrid>
      <w:tr w:rsidR="008D3A46" w14:paraId="51E7EFA8" w14:textId="77777777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EFA6" w14:textId="6FF67001" w:rsidR="008D3A46" w:rsidRDefault="00660B62">
            <w:pPr>
              <w:pStyle w:val="Odsekzoznamu"/>
              <w:spacing w:after="0"/>
              <w:ind w:left="0"/>
            </w:pPr>
            <w:r>
              <w:rPr>
                <w:rFonts w:cs="Calibri"/>
                <w:bCs/>
                <w:sz w:val="20"/>
                <w:szCs w:val="20"/>
              </w:rPr>
              <w:t xml:space="preserve">Obchodný názov </w:t>
            </w:r>
            <w:r w:rsidR="00696F00">
              <w:rPr>
                <w:rFonts w:cs="Calibri"/>
                <w:bCs/>
                <w:sz w:val="20"/>
                <w:szCs w:val="20"/>
              </w:rPr>
              <w:t>uchádzača</w:t>
            </w:r>
            <w:r>
              <w:rPr>
                <w:rFonts w:cs="Calibri"/>
                <w:bCs/>
                <w:sz w:val="20"/>
                <w:szCs w:val="20"/>
              </w:rPr>
              <w:t>: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EFA7" w14:textId="77777777" w:rsidR="008D3A46" w:rsidRDefault="008D3A46">
            <w:pPr>
              <w:pStyle w:val="Odsekzoznamu"/>
              <w:spacing w:after="0"/>
              <w:ind w:left="0"/>
              <w:rPr>
                <w:rFonts w:cs="Calibri"/>
                <w:sz w:val="20"/>
                <w:szCs w:val="20"/>
              </w:rPr>
            </w:pPr>
          </w:p>
        </w:tc>
      </w:tr>
      <w:tr w:rsidR="008D3A46" w14:paraId="51E7EFAB" w14:textId="77777777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EFA9" w14:textId="127FE2FC" w:rsidR="008D3A46" w:rsidRDefault="00660B62">
            <w:pPr>
              <w:pStyle w:val="Odsekzoznamu"/>
              <w:spacing w:after="0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Adresa </w:t>
            </w:r>
            <w:r w:rsidR="00696F00">
              <w:rPr>
                <w:rFonts w:cs="Calibri"/>
                <w:sz w:val="20"/>
                <w:szCs w:val="20"/>
              </w:rPr>
              <w:t>uchádzača</w:t>
            </w:r>
            <w:r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EFAA" w14:textId="77777777" w:rsidR="008D3A46" w:rsidRDefault="008D3A46">
            <w:pPr>
              <w:pStyle w:val="Odsekzoznamu"/>
              <w:spacing w:after="0"/>
              <w:ind w:left="0"/>
              <w:rPr>
                <w:rFonts w:cs="Calibri"/>
                <w:sz w:val="20"/>
                <w:szCs w:val="20"/>
              </w:rPr>
            </w:pPr>
          </w:p>
        </w:tc>
      </w:tr>
      <w:tr w:rsidR="008D3A46" w14:paraId="51E7EFAE" w14:textId="77777777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EFAC" w14:textId="361D0546" w:rsidR="008D3A46" w:rsidRDefault="00660B62">
            <w:pPr>
              <w:pStyle w:val="Odsekzoznamu"/>
              <w:spacing w:after="0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Registračné údaje </w:t>
            </w:r>
            <w:r w:rsidR="00696F00">
              <w:rPr>
                <w:rFonts w:cs="Calibri"/>
                <w:sz w:val="20"/>
                <w:szCs w:val="20"/>
              </w:rPr>
              <w:t>uchádzača</w:t>
            </w:r>
            <w:r>
              <w:rPr>
                <w:rFonts w:cs="Calibri"/>
                <w:sz w:val="20"/>
                <w:szCs w:val="20"/>
              </w:rPr>
              <w:t>(IČO, DIČ) :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EFAD" w14:textId="77777777" w:rsidR="008D3A46" w:rsidRDefault="008D3A46">
            <w:pPr>
              <w:pStyle w:val="Odsekzoznamu"/>
              <w:spacing w:after="0"/>
              <w:ind w:left="0"/>
              <w:rPr>
                <w:rFonts w:cs="Calibri"/>
                <w:sz w:val="20"/>
                <w:szCs w:val="20"/>
              </w:rPr>
            </w:pPr>
          </w:p>
        </w:tc>
      </w:tr>
    </w:tbl>
    <w:p w14:paraId="51E7EFAF" w14:textId="77777777" w:rsidR="008D3A46" w:rsidRDefault="008D3A46">
      <w:pPr>
        <w:rPr>
          <w:rFonts w:cs="Calibri"/>
          <w:sz w:val="20"/>
          <w:szCs w:val="20"/>
        </w:rPr>
      </w:pPr>
    </w:p>
    <w:p w14:paraId="51E7EFB0" w14:textId="77777777" w:rsidR="008D3A46" w:rsidRDefault="00660B62">
      <w:pPr>
        <w:pStyle w:val="Nadpis1"/>
      </w:pPr>
      <w:r>
        <w:t xml:space="preserve">ČASŤ – NÁVRH TECHNICKÉHO RIEŠENIA </w:t>
      </w:r>
    </w:p>
    <w:p w14:paraId="51E7EFB2" w14:textId="6186F6FE" w:rsidR="008D3A46" w:rsidRDefault="00660B62">
      <w:pPr>
        <w:spacing w:before="120"/>
        <w:jc w:val="both"/>
        <w:rPr>
          <w:rFonts w:cs="Calibri"/>
        </w:rPr>
      </w:pPr>
      <w:r>
        <w:rPr>
          <w:rFonts w:cs="Calibri"/>
        </w:rPr>
        <w:t xml:space="preserve">Technický popis  </w:t>
      </w:r>
      <w:r w:rsidR="00696F00">
        <w:rPr>
          <w:rFonts w:cs="Calibri"/>
        </w:rPr>
        <w:t>uchádzačom</w:t>
      </w:r>
      <w:r>
        <w:rPr>
          <w:rFonts w:cs="Calibri"/>
        </w:rPr>
        <w:t xml:space="preserve"> navrhovaných  zariadení.  </w:t>
      </w:r>
      <w:r w:rsidR="00696F00">
        <w:rPr>
          <w:rFonts w:cs="Calibri"/>
        </w:rPr>
        <w:t>Uchádzač</w:t>
      </w:r>
      <w:r>
        <w:rPr>
          <w:rFonts w:cs="Calibri"/>
        </w:rPr>
        <w:t xml:space="preserve"> uvedie obchodné označenie a parametre  konkrétneho zariadenia, ktorými preukáže splnenie požiadaviek </w:t>
      </w:r>
      <w:r w:rsidR="00A31A51">
        <w:rPr>
          <w:rFonts w:cs="Calibri"/>
        </w:rPr>
        <w:t>obstarávateľa</w:t>
      </w:r>
      <w:r>
        <w:rPr>
          <w:rFonts w:cs="Calibri"/>
        </w:rPr>
        <w:t xml:space="preserve"> na predmet zákazky. Pre overiteľnosť parametrov </w:t>
      </w:r>
      <w:r w:rsidR="00A31A51">
        <w:rPr>
          <w:rFonts w:cs="Calibri"/>
        </w:rPr>
        <w:t>uchádzač</w:t>
      </w:r>
      <w:r>
        <w:rPr>
          <w:rFonts w:cs="Calibri"/>
        </w:rPr>
        <w:t xml:space="preserve"> uvedie </w:t>
      </w:r>
      <w:proofErr w:type="spellStart"/>
      <w:r>
        <w:rPr>
          <w:rFonts w:cs="Calibri"/>
        </w:rPr>
        <w:t>link</w:t>
      </w:r>
      <w:proofErr w:type="spellEnd"/>
      <w:r>
        <w:rPr>
          <w:rFonts w:cs="Calibri"/>
        </w:rPr>
        <w:t xml:space="preserve"> /predloží technický list/ resp. si zvolí akýkoľvek iný spôsob preukázanie splnenie požiadaviek na predmet zákazky.</w:t>
      </w:r>
    </w:p>
    <w:p w14:paraId="51E7EFB3" w14:textId="77777777" w:rsidR="008D3A46" w:rsidRDefault="00660B62">
      <w:pPr>
        <w:pStyle w:val="Nadpis2"/>
      </w:pPr>
      <w:bookmarkStart w:id="1" w:name="_Hlk104808027"/>
      <w:r>
        <w:t>Zariadenie na výrobu vodíka (PEM)</w:t>
      </w:r>
      <w:bookmarkEnd w:id="1"/>
    </w:p>
    <w:tbl>
      <w:tblPr>
        <w:tblW w:w="96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2786"/>
        <w:gridCol w:w="2410"/>
        <w:gridCol w:w="2409"/>
      </w:tblGrid>
      <w:tr w:rsidR="008D3A46" w14:paraId="51E7EFB8" w14:textId="77777777" w:rsidTr="5B09FF94">
        <w:trPr>
          <w:trHeight w:val="240"/>
          <w:tblHeader/>
        </w:trPr>
        <w:tc>
          <w:tcPr>
            <w:tcW w:w="20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B4" w14:textId="77777777" w:rsidR="008D3A46" w:rsidRDefault="00660B62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Popis </w:t>
            </w:r>
          </w:p>
        </w:tc>
        <w:tc>
          <w:tcPr>
            <w:tcW w:w="2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B5" w14:textId="77777777" w:rsidR="008D3A46" w:rsidRDefault="00660B62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Hodnota/Rozsah/Parameter 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B6" w14:textId="77777777" w:rsidR="008D3A46" w:rsidRDefault="00660B62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Poznámka 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EFB7" w14:textId="13AD656C" w:rsidR="008D3A46" w:rsidRDefault="00660B62"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Vlastný návrh </w:t>
            </w:r>
            <w:r w:rsidR="00A31A51">
              <w:rPr>
                <w:rFonts w:cs="Calibri"/>
                <w:b/>
                <w:bCs/>
                <w:color w:val="FF0000"/>
                <w:sz w:val="20"/>
                <w:szCs w:val="20"/>
              </w:rPr>
              <w:t>uchádzača</w:t>
            </w:r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8D3A46" w14:paraId="51E7EFBE" w14:textId="77777777" w:rsidTr="5B09FF94">
        <w:trPr>
          <w:trHeight w:val="240"/>
        </w:trPr>
        <w:tc>
          <w:tcPr>
            <w:tcW w:w="20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B9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Typ</w:t>
            </w:r>
          </w:p>
        </w:tc>
        <w:tc>
          <w:tcPr>
            <w:tcW w:w="2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BA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Typ: PEM (Polymér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cs-CZ"/>
              </w:rPr>
              <w:t>Electrolyte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cs-CZ"/>
              </w:rPr>
              <w:t>Membrane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 – elektrolýza s polymérovou membránou)</w:t>
            </w:r>
          </w:p>
          <w:p w14:paraId="51E7EFBB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BC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EFBD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EFC3" w14:textId="77777777" w:rsidTr="5B09FF94">
        <w:trPr>
          <w:trHeight w:val="240"/>
        </w:trPr>
        <w:tc>
          <w:tcPr>
            <w:tcW w:w="20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BF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Prevedenie </w:t>
            </w:r>
          </w:p>
        </w:tc>
        <w:tc>
          <w:tcPr>
            <w:tcW w:w="2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C0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Kontajnerové, kompletne zmontované, odskúšané, pre prepravu po ceste 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C1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EFC2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EFC8" w14:textId="77777777" w:rsidTr="5B09FF94">
        <w:trPr>
          <w:trHeight w:val="240"/>
        </w:trPr>
        <w:tc>
          <w:tcPr>
            <w:tcW w:w="20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C4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Počet</w:t>
            </w:r>
          </w:p>
        </w:tc>
        <w:tc>
          <w:tcPr>
            <w:tcW w:w="2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C5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ks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C6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EFC7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</w:tr>
      <w:tr w:rsidR="00360650" w14:paraId="51E7EFCD" w14:textId="77777777" w:rsidTr="5B09FF94">
        <w:trPr>
          <w:trHeight w:val="240"/>
        </w:trPr>
        <w:tc>
          <w:tcPr>
            <w:tcW w:w="20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C9" w14:textId="62B6843D" w:rsidR="00360650" w:rsidRPr="00E634D8" w:rsidRDefault="00360650" w:rsidP="00360650">
            <w:pPr>
              <w:rPr>
                <w:sz w:val="20"/>
                <w:szCs w:val="20"/>
              </w:rPr>
            </w:pPr>
            <w:r w:rsidRPr="00E634D8">
              <w:rPr>
                <w:sz w:val="20"/>
                <w:szCs w:val="20"/>
              </w:rPr>
              <w:t>Príkon zariadenia</w:t>
            </w:r>
          </w:p>
        </w:tc>
        <w:tc>
          <w:tcPr>
            <w:tcW w:w="2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CA" w14:textId="0EFBF0A7" w:rsidR="00360650" w:rsidRPr="00360650" w:rsidRDefault="00360650" w:rsidP="00360650">
            <w:pPr>
              <w:rPr>
                <w:rFonts w:cs="Calibri"/>
                <w:sz w:val="20"/>
                <w:szCs w:val="20"/>
              </w:rPr>
            </w:pPr>
            <w:r w:rsidRPr="00E634D8">
              <w:rPr>
                <w:sz w:val="20"/>
                <w:szCs w:val="20"/>
              </w:rPr>
              <w:t>Min. 0,9 MW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CB" w14:textId="77777777" w:rsidR="00360650" w:rsidRDefault="00360650" w:rsidP="0036065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EFCC" w14:textId="77777777" w:rsidR="00360650" w:rsidRDefault="00360650" w:rsidP="00360650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EFD2" w14:textId="77777777" w:rsidTr="5B09FF94">
        <w:trPr>
          <w:trHeight w:val="240"/>
        </w:trPr>
        <w:tc>
          <w:tcPr>
            <w:tcW w:w="20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CE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Príkon zariadenia - šírka rozsahu </w:t>
            </w:r>
          </w:p>
        </w:tc>
        <w:tc>
          <w:tcPr>
            <w:tcW w:w="2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CF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 – 100 % 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D0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Minimálna požadovaná šírka rozsahu je 10 – 100 %. Upraviť sa môže len znížením dolnej hranice rozsahu – rozšírenie rozsahu. 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EFD1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EFD7" w14:textId="77777777" w:rsidTr="5B09FF94">
        <w:trPr>
          <w:trHeight w:val="240"/>
        </w:trPr>
        <w:tc>
          <w:tcPr>
            <w:tcW w:w="20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D3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Výstupný tlak H2 v primárnej výrobe</w:t>
            </w:r>
          </w:p>
        </w:tc>
        <w:tc>
          <w:tcPr>
            <w:tcW w:w="2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D4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Min.30 bar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D5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V prípade, že bude tlak menší, bude potrebné navrhnúť a použiť </w:t>
            </w:r>
            <w:proofErr w:type="spellStart"/>
            <w:r>
              <w:rPr>
                <w:rFonts w:cs="Calibri"/>
                <w:sz w:val="20"/>
                <w:szCs w:val="20"/>
              </w:rPr>
              <w:t>booster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kompresor. 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EFD6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EFDD" w14:textId="77777777" w:rsidTr="5B09FF94">
        <w:trPr>
          <w:trHeight w:val="240"/>
        </w:trPr>
        <w:tc>
          <w:tcPr>
            <w:tcW w:w="20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D8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Množstvo vyrobeného H2</w:t>
            </w:r>
          </w:p>
          <w:p w14:paraId="51E7EFD9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(kg H2/deň) pri 100 % výkonu </w:t>
            </w:r>
          </w:p>
        </w:tc>
        <w:tc>
          <w:tcPr>
            <w:tcW w:w="2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DA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Min. 400kg / deň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DB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EFDC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</w:tr>
      <w:tr w:rsidR="5B09FF94" w14:paraId="0CF3E467" w14:textId="77777777" w:rsidTr="5B09FF94">
        <w:trPr>
          <w:trHeight w:val="240"/>
        </w:trPr>
        <w:tc>
          <w:tcPr>
            <w:tcW w:w="20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B814E" w14:textId="598B8A30" w:rsidR="6BA17B66" w:rsidRDefault="6BA17B66" w:rsidP="5B09FF94">
            <w:pPr>
              <w:rPr>
                <w:rFonts w:cs="Calibri"/>
                <w:sz w:val="20"/>
                <w:szCs w:val="20"/>
              </w:rPr>
            </w:pPr>
            <w:r w:rsidRPr="5B09FF94">
              <w:rPr>
                <w:rFonts w:cs="Calibri"/>
                <w:sz w:val="20"/>
                <w:szCs w:val="20"/>
              </w:rPr>
              <w:t>Kvalita H2</w:t>
            </w:r>
          </w:p>
        </w:tc>
        <w:tc>
          <w:tcPr>
            <w:tcW w:w="2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6D7F1" w14:textId="221B87F3" w:rsidR="6BA17B66" w:rsidRDefault="6BA17B66" w:rsidP="5B09FF94">
            <w:r w:rsidRPr="5B09FF94">
              <w:rPr>
                <w:rFonts w:cs="Calibri"/>
                <w:sz w:val="20"/>
                <w:szCs w:val="20"/>
              </w:rPr>
              <w:t>99,97 % (</w:t>
            </w:r>
            <w:proofErr w:type="spellStart"/>
            <w:r w:rsidRPr="5B09FF94">
              <w:rPr>
                <w:rFonts w:cs="Calibri"/>
                <w:sz w:val="20"/>
                <w:szCs w:val="20"/>
              </w:rPr>
              <w:t>molárne</w:t>
            </w:r>
            <w:proofErr w:type="spellEnd"/>
            <w:r w:rsidRPr="5B09FF94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85640" w14:textId="35D57CAF" w:rsidR="6BA17B66" w:rsidRDefault="6BA17B66" w:rsidP="5B09FF94">
            <w:r w:rsidRPr="5B09FF94">
              <w:rPr>
                <w:rFonts w:cs="Calibri"/>
                <w:sz w:val="20"/>
                <w:szCs w:val="20"/>
              </w:rPr>
              <w:t>ISO 14687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386F19" w14:textId="50CD595F" w:rsidR="5B09FF94" w:rsidRDefault="5B09FF94" w:rsidP="5B09FF94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EFE2" w14:textId="77777777" w:rsidTr="5B09FF94">
        <w:trPr>
          <w:trHeight w:val="240"/>
        </w:trPr>
        <w:tc>
          <w:tcPr>
            <w:tcW w:w="20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DE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Výstupný tlak – O2 </w:t>
            </w:r>
          </w:p>
        </w:tc>
        <w:tc>
          <w:tcPr>
            <w:tcW w:w="2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DF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bar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E0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Atmosferický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tlak 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EFE1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EFE7" w14:textId="77777777" w:rsidTr="5B09FF94">
        <w:trPr>
          <w:trHeight w:val="240"/>
        </w:trPr>
        <w:tc>
          <w:tcPr>
            <w:tcW w:w="20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E3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Dostupnosť/Spoľahlivosť zariadenia </w:t>
            </w:r>
          </w:p>
        </w:tc>
        <w:tc>
          <w:tcPr>
            <w:tcW w:w="2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E4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95 % 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E5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Zariadenie musí byť schopné minimálne 8322 hodín nepretržitej prevádzky počas 1 roka (revízie a pravidelná údržba).  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EFE6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EFED" w14:textId="77777777" w:rsidTr="5B09FF94">
        <w:trPr>
          <w:trHeight w:val="240"/>
        </w:trPr>
        <w:tc>
          <w:tcPr>
            <w:tcW w:w="20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E8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Účinnosť zariadenia </w:t>
            </w:r>
          </w:p>
        </w:tc>
        <w:tc>
          <w:tcPr>
            <w:tcW w:w="2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E9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  % 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EA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Účinnosť samotného zariadenia na výrobu vodíka. </w:t>
            </w:r>
          </w:p>
          <w:p w14:paraId="51E7EFEB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Účinnosť zariadenia sa vypočíta ako podiel elektrickej energie na membráne ku celkovo spotrebovanej energie. Vlastná spotreba systému generovania vodíka nesmie prekročiť 30 % spotrebovanej elektrickej energie. 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EFEC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EFF2" w14:textId="77777777" w:rsidTr="5B09FF94">
        <w:trPr>
          <w:trHeight w:val="240"/>
        </w:trPr>
        <w:tc>
          <w:tcPr>
            <w:tcW w:w="20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EE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Čas nábehu – horúci nábeh </w:t>
            </w:r>
          </w:p>
        </w:tc>
        <w:tc>
          <w:tcPr>
            <w:tcW w:w="2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EF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Max. 30 s, </w:t>
            </w:r>
            <w:proofErr w:type="spellStart"/>
            <w:r>
              <w:rPr>
                <w:rFonts w:cs="Calibri"/>
                <w:sz w:val="20"/>
                <w:szCs w:val="20"/>
              </w:rPr>
              <w:t>lineárný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priebeh, vrátane reakcie na zmenu </w:t>
            </w:r>
            <w:proofErr w:type="spellStart"/>
            <w:r>
              <w:rPr>
                <w:rFonts w:cs="Calibri"/>
                <w:sz w:val="20"/>
                <w:szCs w:val="20"/>
              </w:rPr>
              <w:t>žádanej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hodnoty 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F0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Nábeh z Minimálneho výkonu na maximálny – doba plnej aktivácie od prvého povelu SEPS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EFF1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EFF7" w14:textId="77777777" w:rsidTr="5B09FF94">
        <w:trPr>
          <w:trHeight w:val="240"/>
        </w:trPr>
        <w:tc>
          <w:tcPr>
            <w:tcW w:w="20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F3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Spotreba vody </w:t>
            </w:r>
          </w:p>
        </w:tc>
        <w:tc>
          <w:tcPr>
            <w:tcW w:w="2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F4" w14:textId="6BAD4605" w:rsidR="008D3A46" w:rsidRDefault="00660B62"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Max. </w:t>
            </w:r>
            <w:r w:rsidR="002467EB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00 liter / h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F5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Pri maximálnom výkone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EFF6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EFFC" w14:textId="77777777" w:rsidTr="5B09FF94">
        <w:trPr>
          <w:trHeight w:val="240"/>
        </w:trPr>
        <w:tc>
          <w:tcPr>
            <w:tcW w:w="20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F8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Kvalita vody </w:t>
            </w:r>
          </w:p>
        </w:tc>
        <w:tc>
          <w:tcPr>
            <w:tcW w:w="2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F9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Pitná voda (systém musí umožňovať použitie pitnej vody, bez dodatočného čistenia, resp. čistenie vody si musí zabezpečiť ak to zariadenie vyžaduje) 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FA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Podľa EU </w:t>
            </w:r>
            <w:proofErr w:type="spellStart"/>
            <w:r>
              <w:rPr>
                <w:rFonts w:cs="Calibri"/>
                <w:sz w:val="20"/>
                <w:szCs w:val="20"/>
              </w:rPr>
              <w:t>Directive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2020/2184-EU 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EFFB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01" w14:textId="77777777" w:rsidTr="5B09FF94">
        <w:trPr>
          <w:trHeight w:val="240"/>
        </w:trPr>
        <w:tc>
          <w:tcPr>
            <w:tcW w:w="20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FD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Napájanie – elektrolýza </w:t>
            </w:r>
          </w:p>
        </w:tc>
        <w:tc>
          <w:tcPr>
            <w:tcW w:w="2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FE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 x 400 ... 1000 V / 50 Hz 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EFFF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Max. 1000 VAC 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F000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06" w14:textId="77777777" w:rsidTr="5B09FF94">
        <w:trPr>
          <w:trHeight w:val="240"/>
        </w:trPr>
        <w:tc>
          <w:tcPr>
            <w:tcW w:w="20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02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Napájanie – ostatné </w:t>
            </w:r>
          </w:p>
        </w:tc>
        <w:tc>
          <w:tcPr>
            <w:tcW w:w="2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03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 x 400 V / 50 Hz (max. 250 kW) 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04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Podľa STN IEC 60038 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F005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0B" w14:textId="77777777" w:rsidTr="5B09FF94">
        <w:trPr>
          <w:trHeight w:val="240"/>
        </w:trPr>
        <w:tc>
          <w:tcPr>
            <w:tcW w:w="20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07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Rozmery zariadenia </w:t>
            </w:r>
          </w:p>
        </w:tc>
        <w:tc>
          <w:tcPr>
            <w:tcW w:w="2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08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13.2 x 4.0 x 5.7 m 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09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Prípustné sú také rozmery, ktoré neovplyvnia stavebné konanie 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F00A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10" w14:textId="77777777" w:rsidTr="5B09FF94">
        <w:trPr>
          <w:trHeight w:val="240"/>
        </w:trPr>
        <w:tc>
          <w:tcPr>
            <w:tcW w:w="20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0C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Životnosť (</w:t>
            </w:r>
            <w:proofErr w:type="spellStart"/>
            <w:r>
              <w:rPr>
                <w:rFonts w:cs="Calibri"/>
                <w:sz w:val="20"/>
                <w:szCs w:val="20"/>
              </w:rPr>
              <w:t>t.j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. obdobie bez potreby výmeny </w:t>
            </w:r>
            <w:proofErr w:type="spellStart"/>
            <w:r>
              <w:rPr>
                <w:rFonts w:cs="Calibri"/>
                <w:sz w:val="20"/>
                <w:szCs w:val="20"/>
              </w:rPr>
              <w:t>stacku</w:t>
            </w:r>
            <w:proofErr w:type="spellEnd"/>
            <w:r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0D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Min. 80000 h 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0E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Prevádzkových hodín – zariadenie je na výkone. Stav pohotovosti pre horúci nábeh sa nezapočítava do prevádzkových hodín. Počítadlo prevádzkových hodín je súčasťou dodávky. 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F00F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51E7F011" w14:textId="77777777" w:rsidR="008D3A46" w:rsidRDefault="008D3A46">
      <w:pPr>
        <w:rPr>
          <w:rFonts w:cs="Calibri"/>
          <w:sz w:val="20"/>
          <w:szCs w:val="20"/>
        </w:rPr>
      </w:pPr>
    </w:p>
    <w:p w14:paraId="51E7F012" w14:textId="77777777" w:rsidR="008D3A46" w:rsidRDefault="00660B62">
      <w:pPr>
        <w:pStyle w:val="Nadpis2"/>
      </w:pPr>
      <w:r>
        <w:t>Strednotlaký zdrojový Medzizásobník</w:t>
      </w:r>
    </w:p>
    <w:tbl>
      <w:tblPr>
        <w:tblW w:w="96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2786"/>
        <w:gridCol w:w="2410"/>
        <w:gridCol w:w="2409"/>
      </w:tblGrid>
      <w:tr w:rsidR="008D3A46" w14:paraId="51E7F017" w14:textId="77777777">
        <w:trPr>
          <w:trHeight w:val="240"/>
          <w:tblHeader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13" w14:textId="77777777" w:rsidR="008D3A46" w:rsidRDefault="00660B62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Popis 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14" w14:textId="77777777" w:rsidR="008D3A46" w:rsidRDefault="00660B62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Hodnota/Rozsah/Parameter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15" w14:textId="77777777" w:rsidR="008D3A46" w:rsidRDefault="00660B62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Poznámka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F016" w14:textId="235CE010" w:rsidR="008D3A46" w:rsidRDefault="00660B62"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Vlastný návrh </w:t>
            </w:r>
            <w:r w:rsidR="007C2DC3">
              <w:rPr>
                <w:rFonts w:cs="Calibri"/>
                <w:b/>
                <w:bCs/>
                <w:color w:val="FF0000"/>
                <w:sz w:val="20"/>
                <w:szCs w:val="20"/>
              </w:rPr>
              <w:t>uchádzač</w:t>
            </w:r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a </w:t>
            </w:r>
          </w:p>
        </w:tc>
      </w:tr>
      <w:tr w:rsidR="008D3A46" w14:paraId="51E7F01C" w14:textId="77777777">
        <w:trPr>
          <w:trHeight w:val="240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18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Kapacita 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19" w14:textId="77777777" w:rsidR="008D3A46" w:rsidRDefault="00660B62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350 – 600 kg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1A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F01B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21" w14:textId="77777777">
        <w:trPr>
          <w:trHeight w:val="240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1D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Najnižší pracovný pretlak 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1E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Min. 200 bar (g)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1F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F020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26" w14:textId="77777777">
        <w:trPr>
          <w:trHeight w:val="240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22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Počet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23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 ks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24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F025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2B" w14:textId="77777777">
        <w:trPr>
          <w:trHeight w:val="240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27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Typ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28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Horizontálne, nadzemné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29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F02A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30" w14:textId="77777777">
        <w:trPr>
          <w:trHeight w:val="240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2C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Pracovné médium 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2D" w14:textId="77777777" w:rsidR="008D3A46" w:rsidRDefault="00660B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Plynný vodík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02E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F02F" w14:textId="77777777" w:rsidR="008D3A46" w:rsidRDefault="008D3A46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51E7F0A1" w14:textId="77777777" w:rsidR="008D3A46" w:rsidRDefault="00660B62">
      <w:pPr>
        <w:pStyle w:val="Nadpis1"/>
      </w:pPr>
      <w:r>
        <w:t>ČASŤ – VÝKONNOSTNÉ PARAMETRE</w:t>
      </w:r>
    </w:p>
    <w:p w14:paraId="51E7F0A2" w14:textId="78C292BF" w:rsidR="008D3A46" w:rsidRDefault="00660B62">
      <w:pPr>
        <w:jc w:val="both"/>
      </w:pPr>
      <w:r>
        <w:rPr>
          <w:rFonts w:cs="Calibri"/>
        </w:rPr>
        <w:t xml:space="preserve">Výkonnostné parametre s garantovanými hodnotami sú pre </w:t>
      </w:r>
      <w:r w:rsidR="007C2DC3">
        <w:rPr>
          <w:rFonts w:cs="Calibri"/>
        </w:rPr>
        <w:t>uchádzač</w:t>
      </w:r>
      <w:r>
        <w:rPr>
          <w:rFonts w:cs="Calibri"/>
        </w:rPr>
        <w:t xml:space="preserve">a  záväzné a pre obstarávateľa kľúčové a nie je možné sa pri návrhu a realizácií od nich odchýliť. </w:t>
      </w:r>
      <w:r>
        <w:rPr>
          <w:rFonts w:cs="Calibri"/>
          <w:u w:val="single"/>
        </w:rPr>
        <w:t>Riešenie s lepšími parametrami sa pripúšťa.</w:t>
      </w:r>
    </w:p>
    <w:p w14:paraId="51E7F0A3" w14:textId="77777777" w:rsidR="008D3A46" w:rsidRDefault="00660B62">
      <w:pPr>
        <w:pStyle w:val="Nadpis2"/>
      </w:pPr>
      <w:r>
        <w:t xml:space="preserve">Garantované hodnoty Vodíkového hospodárstva </w:t>
      </w:r>
    </w:p>
    <w:p w14:paraId="51E7F0A4" w14:textId="5B84AE4F" w:rsidR="008D3A46" w:rsidRDefault="007C2DC3">
      <w:pPr>
        <w:jc w:val="both"/>
        <w:rPr>
          <w:rFonts w:cs="Calibri"/>
        </w:rPr>
      </w:pPr>
      <w:r>
        <w:rPr>
          <w:rFonts w:cs="Calibri"/>
        </w:rPr>
        <w:t>Uchádzač</w:t>
      </w:r>
      <w:r w:rsidR="00660B62">
        <w:rPr>
          <w:rFonts w:cs="Calibri"/>
        </w:rPr>
        <w:t xml:space="preserve"> uvedie garanciu na dosiahnutie hodnôt jednotlivých ním navrhnutých technologických zariadení podľa nasledujúcich tabuliek. Tieto hodnoty sú požadované obstarávateľom budú tiež overené garančnými meraniami  pred  odovzdaním diela a skúšobnou prevádzkou vodíkového hospodárstva.</w:t>
      </w:r>
    </w:p>
    <w:p w14:paraId="51E7F0A5" w14:textId="77777777" w:rsidR="008D3A46" w:rsidRDefault="00660B62">
      <w:pPr>
        <w:overflowPunct w:val="0"/>
        <w:autoSpaceDE w:val="0"/>
        <w:spacing w:before="120" w:after="0"/>
        <w:jc w:val="both"/>
      </w:pPr>
      <w:r>
        <w:rPr>
          <w:rFonts w:cs="Calibri"/>
          <w:sz w:val="20"/>
          <w:szCs w:val="20"/>
        </w:rPr>
        <w:t>Tabuľka garantovaných hodnôt zariadenia na výrobu vodíka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712"/>
        <w:gridCol w:w="2674"/>
      </w:tblGrid>
      <w:tr w:rsidR="008D3A46" w14:paraId="51E7F0AA" w14:textId="77777777">
        <w:trPr>
          <w:trHeight w:val="249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A6" w14:textId="77777777" w:rsidR="008D3A46" w:rsidRDefault="00660B62">
            <w:pPr>
              <w:spacing w:after="0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A7" w14:textId="77777777" w:rsidR="008D3A46" w:rsidRDefault="00660B62">
            <w:pPr>
              <w:spacing w:after="0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cs-CZ"/>
              </w:rPr>
              <w:t>Hodnota/Rozsah/Para-meter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A8" w14:textId="77777777" w:rsidR="008D3A46" w:rsidRDefault="00660B62">
            <w:pPr>
              <w:spacing w:after="0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cs-CZ"/>
              </w:rPr>
              <w:t>Poznámka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F0A9" w14:textId="49701F68" w:rsidR="008D3A46" w:rsidRDefault="00660B62">
            <w:pPr>
              <w:spacing w:after="0"/>
            </w:pPr>
            <w:r>
              <w:rPr>
                <w:rFonts w:eastAsia="Times New Roman" w:cs="Calibri"/>
                <w:b/>
                <w:color w:val="FF0000"/>
                <w:sz w:val="20"/>
                <w:szCs w:val="20"/>
                <w:lang w:eastAsia="cs-CZ"/>
              </w:rPr>
              <w:t xml:space="preserve">Hodnoty garantované </w:t>
            </w:r>
            <w:r w:rsidR="007C2DC3">
              <w:rPr>
                <w:rFonts w:eastAsia="Times New Roman" w:cs="Calibri"/>
                <w:b/>
                <w:color w:val="FF0000"/>
                <w:sz w:val="20"/>
                <w:szCs w:val="20"/>
                <w:lang w:eastAsia="cs-CZ"/>
              </w:rPr>
              <w:t>uchádzač</w:t>
            </w:r>
            <w:r>
              <w:rPr>
                <w:rFonts w:eastAsia="Times New Roman" w:cs="Calibri"/>
                <w:b/>
                <w:color w:val="FF0000"/>
                <w:sz w:val="20"/>
                <w:szCs w:val="20"/>
                <w:lang w:eastAsia="cs-CZ"/>
              </w:rPr>
              <w:t>om</w:t>
            </w:r>
          </w:p>
        </w:tc>
      </w:tr>
      <w:tr w:rsidR="008D3A46" w14:paraId="51E7F0AF" w14:textId="77777777">
        <w:trPr>
          <w:trHeight w:val="24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AB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Príkon zariadenia - šírka rozsahu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AC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10 – 100 %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AD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Minimálna požadovaná šírka rozsahu je 10 – 100 %. Upraviť sa môže len znížením dolnej hranice rozsahu – rozšírenie rozsahu.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F0AE" w14:textId="77777777" w:rsidR="008D3A46" w:rsidRDefault="008D3A46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  <w:tr w:rsidR="008D3A46" w14:paraId="51E7F0B4" w14:textId="77777777">
        <w:trPr>
          <w:trHeight w:val="24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B0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Množstvo vyrobeného H2 (kg H2/h) pri 100 % výkonu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B1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Min. 400 kg H2/deň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B2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Pri maximálnom výkone zariadenia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F0B3" w14:textId="77777777" w:rsidR="008D3A46" w:rsidRDefault="008D3A46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  <w:tr w:rsidR="008D3A46" w14:paraId="51E7F0B9" w14:textId="77777777">
        <w:trPr>
          <w:trHeight w:val="24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B5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Kvalita H2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B6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99,97 % (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cs-CZ"/>
              </w:rPr>
              <w:t>molárne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B7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ISO 14687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F0B8" w14:textId="77777777" w:rsidR="008D3A46" w:rsidRDefault="008D3A46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</w:tbl>
    <w:p w14:paraId="51E7F0BA" w14:textId="77777777" w:rsidR="008D3A46" w:rsidRDefault="008D3A46">
      <w:pPr>
        <w:suppressAutoHyphens w:val="0"/>
        <w:rPr>
          <w:rFonts w:cs="Calibri"/>
          <w:sz w:val="20"/>
          <w:szCs w:val="20"/>
        </w:rPr>
      </w:pPr>
    </w:p>
    <w:p w14:paraId="51E7F0BB" w14:textId="77777777" w:rsidR="008D3A46" w:rsidRDefault="00660B62">
      <w:pPr>
        <w:overflowPunct w:val="0"/>
        <w:autoSpaceDE w:val="0"/>
        <w:spacing w:before="120" w:after="0"/>
        <w:jc w:val="both"/>
      </w:pPr>
      <w:r>
        <w:rPr>
          <w:rFonts w:cs="Calibri"/>
          <w:sz w:val="20"/>
          <w:szCs w:val="20"/>
        </w:rPr>
        <w:t>Tabuľka garantovaných hodnôt celého vodíkového hospodárstva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2693"/>
        <w:gridCol w:w="2693"/>
      </w:tblGrid>
      <w:tr w:rsidR="008D3A46" w14:paraId="51E7F0C0" w14:textId="77777777">
        <w:trPr>
          <w:trHeight w:val="249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BC" w14:textId="77777777" w:rsidR="008D3A46" w:rsidRDefault="00660B62">
            <w:pPr>
              <w:spacing w:after="0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BD" w14:textId="77777777" w:rsidR="008D3A46" w:rsidRDefault="00660B62">
            <w:pPr>
              <w:spacing w:after="0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cs-CZ"/>
              </w:rPr>
              <w:t>Hodnota/Rozsah/Para-meter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BE" w14:textId="77777777" w:rsidR="008D3A46" w:rsidRDefault="00660B62">
            <w:pPr>
              <w:spacing w:after="0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cs-CZ"/>
              </w:rPr>
              <w:t>Poznámka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F0BF" w14:textId="3F81FC8D" w:rsidR="008D3A46" w:rsidRDefault="00660B62">
            <w:pPr>
              <w:spacing w:after="0"/>
            </w:pPr>
            <w:r>
              <w:rPr>
                <w:rFonts w:eastAsia="Times New Roman" w:cs="Calibri"/>
                <w:b/>
                <w:color w:val="FF0000"/>
                <w:sz w:val="20"/>
                <w:szCs w:val="20"/>
                <w:lang w:eastAsia="cs-CZ"/>
              </w:rPr>
              <w:t xml:space="preserve">Hodnoty garantované </w:t>
            </w:r>
            <w:r w:rsidR="007C2DC3">
              <w:rPr>
                <w:rFonts w:eastAsia="Times New Roman" w:cs="Calibri"/>
                <w:b/>
                <w:color w:val="FF0000"/>
                <w:sz w:val="20"/>
                <w:szCs w:val="20"/>
                <w:lang w:eastAsia="cs-CZ"/>
              </w:rPr>
              <w:t>uchádzač</w:t>
            </w:r>
            <w:r>
              <w:rPr>
                <w:rFonts w:eastAsia="Times New Roman" w:cs="Calibri"/>
                <w:b/>
                <w:color w:val="FF0000"/>
                <w:sz w:val="20"/>
                <w:szCs w:val="20"/>
                <w:lang w:eastAsia="cs-CZ"/>
              </w:rPr>
              <w:t>om</w:t>
            </w:r>
          </w:p>
        </w:tc>
      </w:tr>
      <w:tr w:rsidR="008D3A46" w14:paraId="51E7F0C5" w14:textId="77777777">
        <w:trPr>
          <w:trHeight w:val="24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C1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Doba plnej aktivácie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C2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Max. 5 min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C3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Čas potrebný na dosiahnutie maximálneho výkonu celého VH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F0C4" w14:textId="77777777" w:rsidR="008D3A46" w:rsidRDefault="008D3A46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  <w:tr w:rsidR="008D3A46" w14:paraId="51E7F0CA" w14:textId="77777777">
        <w:trPr>
          <w:trHeight w:val="24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C6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Trend nábehu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C7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1,0 MW/30 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C8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Minimálny trend nábehu. Trend nemôže byť pomalší.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F0C9" w14:textId="77777777" w:rsidR="008D3A46" w:rsidRDefault="008D3A46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  <w:tr w:rsidR="008D3A46" w14:paraId="51E7F0CF" w14:textId="77777777">
        <w:trPr>
          <w:trHeight w:val="24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CB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Cyklus obnovy žiadaného činného výkonu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CC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Max. 5 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CD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Perióda vzorkovania, snímania a riadenia technológie musí umožniť obnovu dát </w:t>
            </w:r>
            <w:r>
              <w:rPr>
                <w:rFonts w:eastAsia="Times New Roman" w:cs="Calibri"/>
                <w:sz w:val="20"/>
                <w:szCs w:val="20"/>
                <w:lang w:eastAsia="cs-CZ"/>
              </w:rPr>
              <w:lastRenderedPageBreak/>
              <w:t>z centrálneho regulátora s danou rýchlosťou.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F0CE" w14:textId="77777777" w:rsidR="008D3A46" w:rsidRDefault="008D3A46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  <w:tr w:rsidR="008D3A46" w14:paraId="51E7F0D4" w14:textId="77777777">
        <w:trPr>
          <w:trHeight w:val="24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D0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Max. krok regulácie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D1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0.1 MW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D2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Žiadanú hodnotu výkonu musí byť možné nastavovať v desatinách MW.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F0D3" w14:textId="77777777" w:rsidR="008D3A46" w:rsidRDefault="008D3A46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  <w:tr w:rsidR="008D3A46" w14:paraId="51E7F0D9" w14:textId="77777777">
        <w:trPr>
          <w:trHeight w:val="24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D5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Reakcia na zmenu žiadanej hodnoty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D6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Max. 15 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D7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Do tohto času musí VH zareagovať na zmenu meranej hodnoty – spätná väzba merania výkonu ukáže zmenu smerom k žiadanej hodnote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F0D8" w14:textId="77777777" w:rsidR="008D3A46" w:rsidRDefault="008D3A46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  <w:tr w:rsidR="008D3A46" w14:paraId="51E7F0DE" w14:textId="77777777">
        <w:trPr>
          <w:trHeight w:val="24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DA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Hodnoty výkonu budú merané a archivované s presnosťou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DB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3 desatinné miesta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DC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V Megawattoch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F0DD" w14:textId="77777777" w:rsidR="008D3A46" w:rsidRDefault="008D3A46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  <w:tr w:rsidR="008D3A46" w14:paraId="51E7F0E3" w14:textId="77777777">
        <w:trPr>
          <w:trHeight w:val="24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DF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Opakovanie výkonovej zmeny do + a do 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E0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neobmedzene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E1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Želanú hodnotu v oboch smeroch požadujeme meniť neobmedzene krát za sebou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F0E2" w14:textId="77777777" w:rsidR="008D3A46" w:rsidRDefault="008D3A46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  <w:tr w:rsidR="008D3A46" w14:paraId="51E7F0E8" w14:textId="77777777">
        <w:trPr>
          <w:trHeight w:val="24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E4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Odchýlka skutočného činného výkonu od želaného činného výkonu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E5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Max. 5 %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E6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Z celého regulačného rozsahu (max. výkon – min. výkon)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F0E7" w14:textId="77777777" w:rsidR="008D3A46" w:rsidRDefault="008D3A46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  <w:tr w:rsidR="008D3A46" w14:paraId="51E7F0ED" w14:textId="77777777">
        <w:trPr>
          <w:trHeight w:val="24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E9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Kvalita a stabilita regulácie výkonu - oscilácie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EA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Max. 2,5 %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EB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Amplitúda kmitania, nesmie prekročiť 2,5 % regulačného rozsahu (max. výkon – min. výkon)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F0EC" w14:textId="77777777" w:rsidR="008D3A46" w:rsidRDefault="008D3A46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  <w:tr w:rsidR="008D3A46" w14:paraId="51E7F0F2" w14:textId="77777777">
        <w:trPr>
          <w:trHeight w:val="24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EE" w14:textId="77777777" w:rsidR="008D3A46" w:rsidRDefault="00660B62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Garancie hluku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EF" w14:textId="77777777" w:rsidR="008D3A46" w:rsidRDefault="00660B62">
            <w:pPr>
              <w:spacing w:after="0"/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Max. </w:t>
            </w:r>
            <w:r>
              <w:rPr>
                <w:rFonts w:cs="Calibri"/>
                <w:sz w:val="20"/>
                <w:szCs w:val="20"/>
              </w:rPr>
              <w:t xml:space="preserve">70 dB vo vzdialenosti 10 m od zariadenia.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F0" w14:textId="77777777" w:rsidR="008D3A46" w:rsidRDefault="008D3A46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F0F1" w14:textId="77777777" w:rsidR="008D3A46" w:rsidRDefault="008D3A46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</w:tbl>
    <w:p w14:paraId="51E7F0F3" w14:textId="77777777" w:rsidR="008D3A46" w:rsidRDefault="008D3A46">
      <w:pPr>
        <w:rPr>
          <w:rFonts w:cs="Calibri"/>
          <w:sz w:val="20"/>
          <w:szCs w:val="20"/>
        </w:rPr>
      </w:pPr>
    </w:p>
    <w:p w14:paraId="51E7F0F4" w14:textId="77777777" w:rsidR="008D3A46" w:rsidRDefault="00660B62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Dolu podpísaný čestne prehlasujem, že:</w:t>
      </w:r>
    </w:p>
    <w:p w14:paraId="51E7F0F5" w14:textId="5F406CDF" w:rsidR="008D3A46" w:rsidRDefault="00660B62">
      <w:pPr>
        <w:ind w:left="567" w:hanging="56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 xml:space="preserve">Riešenie uvedené v tejto cenovej ponuke zodpovedá svojimi parametrami špecifikácii a požiadavkám </w:t>
      </w:r>
      <w:r w:rsidR="00A31A51">
        <w:rPr>
          <w:rFonts w:cs="Calibri"/>
          <w:sz w:val="20"/>
          <w:szCs w:val="20"/>
        </w:rPr>
        <w:t>obstarávateľ</w:t>
      </w:r>
      <w:r w:rsidR="007C2DC3">
        <w:rPr>
          <w:rFonts w:cs="Calibri"/>
          <w:sz w:val="20"/>
          <w:szCs w:val="20"/>
        </w:rPr>
        <w:t>a</w:t>
      </w:r>
      <w:r>
        <w:rPr>
          <w:rFonts w:cs="Calibri"/>
          <w:sz w:val="20"/>
          <w:szCs w:val="20"/>
        </w:rPr>
        <w:t xml:space="preserve"> na predmet zákazky a požadovaným náležitostiam uvedeným v súťažných podkladoch.</w:t>
      </w:r>
    </w:p>
    <w:p w14:paraId="51E7F0F6" w14:textId="77777777" w:rsidR="008D3A46" w:rsidRDefault="008D3A46">
      <w:pPr>
        <w:rPr>
          <w:rFonts w:cs="Calibri"/>
          <w:sz w:val="20"/>
          <w:szCs w:val="20"/>
        </w:rPr>
      </w:pPr>
    </w:p>
    <w:p w14:paraId="51E7F0F7" w14:textId="77777777" w:rsidR="008D3A46" w:rsidRDefault="00660B62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8D3A46" w14:paraId="51E7F0FA" w14:textId="77777777">
        <w:trPr>
          <w:trHeight w:val="567"/>
        </w:trPr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F8" w14:textId="77777777" w:rsidR="008D3A46" w:rsidRDefault="008D3A46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F9" w14:textId="77777777" w:rsidR="008D3A46" w:rsidRDefault="008D3A46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8D3A46" w14:paraId="51E7F0FD" w14:textId="77777777"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FB" w14:textId="77777777" w:rsidR="008D3A46" w:rsidRDefault="008D3A46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FC" w14:textId="65736D60" w:rsidR="008D3A46" w:rsidRDefault="00660B62">
            <w:pPr>
              <w:spacing w:after="0"/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vypísať meno, priezvisko a funkciu </w:t>
            </w:r>
            <w:r>
              <w:rPr>
                <w:rFonts w:cs="Calibri"/>
                <w:i/>
                <w:sz w:val="20"/>
                <w:szCs w:val="20"/>
              </w:rPr>
              <w:br/>
              <w:t>oprávnenej osoby</w:t>
            </w:r>
            <w:r w:rsidR="007C2DC3">
              <w:rPr>
                <w:rFonts w:cs="Calibri"/>
                <w:i/>
                <w:sz w:val="20"/>
                <w:szCs w:val="20"/>
              </w:rPr>
              <w:t xml:space="preserve"> uchádzača</w:t>
            </w:r>
          </w:p>
        </w:tc>
      </w:tr>
    </w:tbl>
    <w:p w14:paraId="51E7F0FE" w14:textId="77777777" w:rsidR="008D3A46" w:rsidRDefault="00660B62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Poznámka:</w:t>
      </w:r>
    </w:p>
    <w:p w14:paraId="51E7F0FF" w14:textId="4CF5715F" w:rsidR="008D3A46" w:rsidRDefault="00660B62">
      <w:pPr>
        <w:ind w:left="284" w:hanging="284"/>
      </w:pPr>
      <w:r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ab/>
        <w:t xml:space="preserve">podpis </w:t>
      </w:r>
      <w:r w:rsidR="007C2DC3">
        <w:rPr>
          <w:rFonts w:cs="Calibri"/>
          <w:sz w:val="20"/>
          <w:szCs w:val="20"/>
        </w:rPr>
        <w:t>uchádzača</w:t>
      </w:r>
      <w:r>
        <w:rPr>
          <w:rFonts w:cs="Calibri"/>
          <w:sz w:val="20"/>
          <w:szCs w:val="20"/>
        </w:rPr>
        <w:t xml:space="preserve"> alebo osoby oprávnenej konať za </w:t>
      </w:r>
      <w:r w:rsidR="007C2DC3">
        <w:rPr>
          <w:rFonts w:cs="Calibri"/>
          <w:sz w:val="20"/>
          <w:szCs w:val="20"/>
        </w:rPr>
        <w:t>uchádzača</w:t>
      </w:r>
      <w:r>
        <w:rPr>
          <w:rFonts w:cs="Calibri"/>
          <w:sz w:val="20"/>
          <w:szCs w:val="20"/>
        </w:rPr>
        <w:t xml:space="preserve"> (v prípade skupiny dodávateľov podpis každého člena skupiny dodávateľov</w:t>
      </w:r>
    </w:p>
    <w:sectPr w:rsidR="008D3A4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EC984" w14:textId="77777777" w:rsidR="00311941" w:rsidRDefault="00311941">
      <w:pPr>
        <w:spacing w:after="0"/>
      </w:pPr>
      <w:r>
        <w:separator/>
      </w:r>
    </w:p>
  </w:endnote>
  <w:endnote w:type="continuationSeparator" w:id="0">
    <w:p w14:paraId="3D1C4B1A" w14:textId="77777777" w:rsidR="00311941" w:rsidRDefault="003119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09125" w14:textId="77777777" w:rsidR="00311941" w:rsidRDefault="0031194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5DC2D03" w14:textId="77777777" w:rsidR="00311941" w:rsidRDefault="003119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0BB"/>
    <w:multiLevelType w:val="multilevel"/>
    <w:tmpl w:val="78A49E9C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E13808"/>
    <w:multiLevelType w:val="multilevel"/>
    <w:tmpl w:val="7A8AA6E8"/>
    <w:styleLink w:val="WWOutlineListStyle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7E73B81"/>
    <w:multiLevelType w:val="multilevel"/>
    <w:tmpl w:val="0DC245F2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8E120FA"/>
    <w:multiLevelType w:val="multilevel"/>
    <w:tmpl w:val="93C8091E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DB73E3A"/>
    <w:multiLevelType w:val="multilevel"/>
    <w:tmpl w:val="E37CD1C0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FFE14DA"/>
    <w:multiLevelType w:val="multilevel"/>
    <w:tmpl w:val="6B90DC38"/>
    <w:styleLink w:val="WWOutlineListStyle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489110B"/>
    <w:multiLevelType w:val="multilevel"/>
    <w:tmpl w:val="0942ACAE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9DF2E09"/>
    <w:multiLevelType w:val="multilevel"/>
    <w:tmpl w:val="87C2C6CA"/>
    <w:styleLink w:val="WWOutlineListStyle13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861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B874554"/>
    <w:multiLevelType w:val="multilevel"/>
    <w:tmpl w:val="C420B0E6"/>
    <w:styleLink w:val="WWOutlineListStyle6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E380891"/>
    <w:multiLevelType w:val="multilevel"/>
    <w:tmpl w:val="B20AC450"/>
    <w:styleLink w:val="WWOutlineListStyle6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4B86D33"/>
    <w:multiLevelType w:val="multilevel"/>
    <w:tmpl w:val="3356ECF0"/>
    <w:styleLink w:val="WWOutlineListStyle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57E10FB"/>
    <w:multiLevelType w:val="multilevel"/>
    <w:tmpl w:val="26980CF2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7DE181B"/>
    <w:multiLevelType w:val="multilevel"/>
    <w:tmpl w:val="DBF62042"/>
    <w:styleLink w:val="WWOutlineListStyle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CA458DC"/>
    <w:multiLevelType w:val="multilevel"/>
    <w:tmpl w:val="61125C9A"/>
    <w:styleLink w:val="WWOutlineListStyl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11B1B33"/>
    <w:multiLevelType w:val="multilevel"/>
    <w:tmpl w:val="6632E26A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C3D2178"/>
    <w:multiLevelType w:val="multilevel"/>
    <w:tmpl w:val="870405A4"/>
    <w:styleLink w:val="WWOutlineListStyle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80B0C67"/>
    <w:multiLevelType w:val="multilevel"/>
    <w:tmpl w:val="E18A137C"/>
    <w:styleLink w:val="WWOutlineListStyle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FAB296E"/>
    <w:multiLevelType w:val="multilevel"/>
    <w:tmpl w:val="51628896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4054657">
    <w:abstractNumId w:val="7"/>
  </w:num>
  <w:num w:numId="2" w16cid:durableId="1585409889">
    <w:abstractNumId w:val="10"/>
  </w:num>
  <w:num w:numId="3" w16cid:durableId="51463115">
    <w:abstractNumId w:val="5"/>
  </w:num>
  <w:num w:numId="4" w16cid:durableId="1107582766">
    <w:abstractNumId w:val="16"/>
  </w:num>
  <w:num w:numId="5" w16cid:durableId="945772656">
    <w:abstractNumId w:val="13"/>
  </w:num>
  <w:num w:numId="6" w16cid:durableId="1541746083">
    <w:abstractNumId w:val="17"/>
  </w:num>
  <w:num w:numId="7" w16cid:durableId="405230444">
    <w:abstractNumId w:val="6"/>
  </w:num>
  <w:num w:numId="8" w16cid:durableId="1730493983">
    <w:abstractNumId w:val="2"/>
  </w:num>
  <w:num w:numId="9" w16cid:durableId="1307852832">
    <w:abstractNumId w:val="11"/>
  </w:num>
  <w:num w:numId="10" w16cid:durableId="147404943">
    <w:abstractNumId w:val="0"/>
  </w:num>
  <w:num w:numId="11" w16cid:durableId="218563589">
    <w:abstractNumId w:val="4"/>
  </w:num>
  <w:num w:numId="12" w16cid:durableId="1044669549">
    <w:abstractNumId w:val="3"/>
  </w:num>
  <w:num w:numId="13" w16cid:durableId="411121041">
    <w:abstractNumId w:val="1"/>
  </w:num>
  <w:num w:numId="14" w16cid:durableId="259529590">
    <w:abstractNumId w:val="14"/>
  </w:num>
  <w:num w:numId="15" w16cid:durableId="1917350608">
    <w:abstractNumId w:val="8"/>
  </w:num>
  <w:num w:numId="16" w16cid:durableId="1338117345">
    <w:abstractNumId w:val="15"/>
  </w:num>
  <w:num w:numId="17" w16cid:durableId="1182277754">
    <w:abstractNumId w:val="9"/>
  </w:num>
  <w:num w:numId="18" w16cid:durableId="2397989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A46"/>
    <w:rsid w:val="000968B0"/>
    <w:rsid w:val="000B758F"/>
    <w:rsid w:val="002467EB"/>
    <w:rsid w:val="00311941"/>
    <w:rsid w:val="00360650"/>
    <w:rsid w:val="00567466"/>
    <w:rsid w:val="00660B62"/>
    <w:rsid w:val="00696F00"/>
    <w:rsid w:val="00711283"/>
    <w:rsid w:val="007C2DC3"/>
    <w:rsid w:val="00845F91"/>
    <w:rsid w:val="008D3A46"/>
    <w:rsid w:val="00A31A51"/>
    <w:rsid w:val="00AE25E4"/>
    <w:rsid w:val="00E634D8"/>
    <w:rsid w:val="5B09FF94"/>
    <w:rsid w:val="6BA17B66"/>
    <w:rsid w:val="7781D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7E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paragraph" w:styleId="Nadpis1">
    <w:name w:val="heading 1"/>
    <w:basedOn w:val="Normlny"/>
    <w:next w:val="Normlny"/>
    <w:uiPriority w:val="9"/>
    <w:qFormat/>
    <w:pPr>
      <w:keepNext/>
      <w:numPr>
        <w:numId w:val="1"/>
      </w:numPr>
      <w:spacing w:before="480" w:after="120"/>
      <w:jc w:val="both"/>
      <w:outlineLvl w:val="0"/>
    </w:pPr>
    <w:rPr>
      <w:rFonts w:ascii="Arial" w:eastAsia="Times New Roman" w:hAnsi="Arial"/>
      <w:b/>
      <w:caps/>
      <w:kern w:val="3"/>
      <w:sz w:val="28"/>
      <w:szCs w:val="28"/>
    </w:rPr>
  </w:style>
  <w:style w:type="paragraph" w:styleId="Nadpis2">
    <w:name w:val="heading 2"/>
    <w:basedOn w:val="Normlny"/>
    <w:next w:val="Normlny"/>
    <w:uiPriority w:val="9"/>
    <w:unhideWhenUsed/>
    <w:qFormat/>
    <w:pPr>
      <w:keepNext/>
      <w:numPr>
        <w:ilvl w:val="1"/>
        <w:numId w:val="1"/>
      </w:numPr>
      <w:spacing w:before="360" w:after="120"/>
      <w:jc w:val="both"/>
      <w:outlineLvl w:val="1"/>
    </w:pPr>
    <w:rPr>
      <w:rFonts w:ascii="Arial" w:eastAsia="Times New Roman" w:hAnsi="Arial"/>
      <w:b/>
      <w:caps/>
      <w:kern w:val="3"/>
      <w:sz w:val="24"/>
      <w:szCs w:val="24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numPr>
        <w:ilvl w:val="2"/>
        <w:numId w:val="1"/>
      </w:numPr>
      <w:tabs>
        <w:tab w:val="left" w:pos="-17361"/>
      </w:tabs>
      <w:spacing w:before="240" w:after="60"/>
      <w:jc w:val="both"/>
      <w:outlineLvl w:val="2"/>
    </w:pPr>
    <w:rPr>
      <w:rFonts w:ascii="Arial" w:eastAsia="Times New Roman" w:hAnsi="Arial"/>
      <w:b/>
      <w:caps/>
      <w:kern w:val="3"/>
      <w:sz w:val="28"/>
      <w:szCs w:val="20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caps/>
      <w:kern w:val="3"/>
      <w:sz w:val="24"/>
      <w:szCs w:val="20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numPr>
        <w:ilvl w:val="4"/>
        <w:numId w:val="1"/>
      </w:numPr>
      <w:spacing w:before="240" w:after="60"/>
      <w:jc w:val="both"/>
      <w:outlineLvl w:val="4"/>
    </w:pPr>
    <w:rPr>
      <w:rFonts w:ascii="Arial" w:eastAsia="Times New Roman" w:hAnsi="Arial"/>
      <w:kern w:val="3"/>
      <w:sz w:val="24"/>
      <w:szCs w:val="20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numPr>
        <w:ilvl w:val="5"/>
        <w:numId w:val="1"/>
      </w:numPr>
      <w:spacing w:before="240" w:after="60"/>
      <w:jc w:val="both"/>
      <w:outlineLvl w:val="5"/>
    </w:pPr>
    <w:rPr>
      <w:rFonts w:ascii="Arial" w:eastAsia="Times New Roman" w:hAnsi="Arial"/>
      <w:i/>
      <w:kern w:val="3"/>
      <w:szCs w:val="20"/>
    </w:rPr>
  </w:style>
  <w:style w:type="paragraph" w:styleId="Nadpis7">
    <w:name w:val="heading 7"/>
    <w:basedOn w:val="Normlny"/>
    <w:next w:val="Normlny"/>
    <w:pPr>
      <w:keepNext/>
      <w:numPr>
        <w:ilvl w:val="6"/>
        <w:numId w:val="1"/>
      </w:numPr>
      <w:spacing w:before="240" w:after="60"/>
      <w:jc w:val="both"/>
      <w:outlineLvl w:val="6"/>
    </w:pPr>
    <w:rPr>
      <w:rFonts w:ascii="Arial" w:eastAsia="Times New Roman" w:hAnsi="Arial"/>
      <w:kern w:val="3"/>
      <w:sz w:val="20"/>
      <w:szCs w:val="20"/>
    </w:rPr>
  </w:style>
  <w:style w:type="paragraph" w:styleId="Nadpis8">
    <w:name w:val="heading 8"/>
    <w:basedOn w:val="Normlny"/>
    <w:next w:val="Normlny"/>
    <w:pPr>
      <w:keepNext/>
      <w:numPr>
        <w:ilvl w:val="7"/>
        <w:numId w:val="1"/>
      </w:numPr>
      <w:spacing w:before="240" w:after="60"/>
      <w:jc w:val="both"/>
      <w:outlineLvl w:val="7"/>
    </w:pPr>
    <w:rPr>
      <w:rFonts w:ascii="Arial" w:eastAsia="Times New Roman" w:hAnsi="Arial"/>
      <w:i/>
      <w:kern w:val="3"/>
      <w:sz w:val="20"/>
      <w:szCs w:val="20"/>
    </w:rPr>
  </w:style>
  <w:style w:type="paragraph" w:styleId="Nadpis9">
    <w:name w:val="heading 9"/>
    <w:basedOn w:val="Normlny"/>
    <w:next w:val="Normlny"/>
    <w:pPr>
      <w:keepNext/>
      <w:numPr>
        <w:ilvl w:val="8"/>
        <w:numId w:val="1"/>
      </w:numPr>
      <w:spacing w:before="240" w:after="60"/>
      <w:jc w:val="both"/>
      <w:outlineLvl w:val="8"/>
    </w:pPr>
    <w:rPr>
      <w:rFonts w:ascii="Arial" w:eastAsia="Times New Roman" w:hAnsi="Arial"/>
      <w:i/>
      <w:kern w:val="3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WWOutlineListStyle13">
    <w:name w:val="WW_OutlineListStyle_13"/>
    <w:basedOn w:val="Bezzoznamu"/>
    <w:pPr>
      <w:numPr>
        <w:numId w:val="1"/>
      </w:numPr>
    </w:pPr>
  </w:style>
  <w:style w:type="paragraph" w:customStyle="1" w:styleId="Normln">
    <w:name w:val="Normální"/>
  </w:style>
  <w:style w:type="character" w:customStyle="1" w:styleId="Standardnpsmoodstavce">
    <w:name w:val="Standardní písmo odstavce"/>
  </w:style>
  <w:style w:type="paragraph" w:styleId="Bezriadkovania">
    <w:name w:val="No Spacing"/>
    <w:pPr>
      <w:suppressAutoHyphens/>
      <w:spacing w:after="0"/>
    </w:pPr>
    <w:rPr>
      <w:rFonts w:ascii="Arial" w:eastAsia="Times New Roman" w:hAnsi="Arial"/>
      <w:sz w:val="24"/>
      <w:szCs w:val="20"/>
      <w:lang w:val="cs-CZ" w:eastAsia="cs-CZ"/>
    </w:rPr>
  </w:style>
  <w:style w:type="paragraph" w:styleId="Odsekzoznamu">
    <w:name w:val="List Paragraph"/>
    <w:basedOn w:val="Normlny"/>
    <w:pPr>
      <w:ind w:left="720"/>
    </w:pPr>
  </w:style>
  <w:style w:type="character" w:customStyle="1" w:styleId="Nadpis1Char">
    <w:name w:val="Nadpis 1 Char"/>
    <w:basedOn w:val="Predvolenpsmoodseku"/>
    <w:rPr>
      <w:rFonts w:ascii="Arial" w:eastAsia="Times New Roman" w:hAnsi="Arial" w:cs="Times New Roman"/>
      <w:b/>
      <w:caps/>
      <w:kern w:val="3"/>
      <w:sz w:val="36"/>
      <w:szCs w:val="20"/>
    </w:rPr>
  </w:style>
  <w:style w:type="character" w:customStyle="1" w:styleId="Nadpis2Char">
    <w:name w:val="Nadpis 2 Char"/>
    <w:basedOn w:val="Predvolenpsmoodseku"/>
    <w:rPr>
      <w:rFonts w:ascii="Arial" w:eastAsia="Times New Roman" w:hAnsi="Arial" w:cs="Times New Roman"/>
      <w:b/>
      <w:caps/>
      <w:kern w:val="3"/>
      <w:sz w:val="32"/>
      <w:szCs w:val="20"/>
    </w:rPr>
  </w:style>
  <w:style w:type="character" w:customStyle="1" w:styleId="Nadpis3Char">
    <w:name w:val="Nadpis 3 Char"/>
    <w:basedOn w:val="Predvolenpsmoodseku"/>
    <w:rPr>
      <w:rFonts w:ascii="Arial" w:eastAsia="Times New Roman" w:hAnsi="Arial" w:cs="Times New Roman"/>
      <w:b/>
      <w:caps/>
      <w:kern w:val="3"/>
      <w:sz w:val="28"/>
      <w:szCs w:val="20"/>
    </w:rPr>
  </w:style>
  <w:style w:type="character" w:customStyle="1" w:styleId="Nadpis4Char">
    <w:name w:val="Nadpis 4 Char"/>
    <w:basedOn w:val="Predvolenpsmoodseku"/>
    <w:rPr>
      <w:rFonts w:ascii="Arial" w:eastAsia="Times New Roman" w:hAnsi="Arial" w:cs="Times New Roman"/>
      <w:b/>
      <w:caps/>
      <w:kern w:val="3"/>
      <w:sz w:val="24"/>
      <w:szCs w:val="20"/>
    </w:rPr>
  </w:style>
  <w:style w:type="character" w:customStyle="1" w:styleId="Nadpis5Char">
    <w:name w:val="Nadpis 5 Char"/>
    <w:basedOn w:val="Predvolenpsmoodseku"/>
    <w:rPr>
      <w:rFonts w:ascii="Arial" w:eastAsia="Times New Roman" w:hAnsi="Arial" w:cs="Times New Roman"/>
      <w:kern w:val="3"/>
      <w:sz w:val="24"/>
      <w:szCs w:val="20"/>
    </w:rPr>
  </w:style>
  <w:style w:type="character" w:customStyle="1" w:styleId="Nadpis6Char">
    <w:name w:val="Nadpis 6 Char"/>
    <w:basedOn w:val="Predvolenpsmoodseku"/>
    <w:rPr>
      <w:rFonts w:ascii="Arial" w:eastAsia="Times New Roman" w:hAnsi="Arial" w:cs="Times New Roman"/>
      <w:i/>
      <w:kern w:val="3"/>
      <w:szCs w:val="20"/>
    </w:rPr>
  </w:style>
  <w:style w:type="character" w:customStyle="1" w:styleId="Nadpis7Char">
    <w:name w:val="Nadpis 7 Char"/>
    <w:basedOn w:val="Predvolenpsmoodseku"/>
    <w:rPr>
      <w:rFonts w:ascii="Arial" w:eastAsia="Times New Roman" w:hAnsi="Arial" w:cs="Times New Roman"/>
      <w:kern w:val="3"/>
      <w:sz w:val="20"/>
      <w:szCs w:val="20"/>
    </w:rPr>
  </w:style>
  <w:style w:type="character" w:customStyle="1" w:styleId="Nadpis8Char">
    <w:name w:val="Nadpis 8 Char"/>
    <w:basedOn w:val="Predvolenpsmoodseku"/>
    <w:rPr>
      <w:rFonts w:ascii="Arial" w:eastAsia="Times New Roman" w:hAnsi="Arial" w:cs="Times New Roman"/>
      <w:i/>
      <w:kern w:val="3"/>
      <w:sz w:val="20"/>
      <w:szCs w:val="20"/>
    </w:rPr>
  </w:style>
  <w:style w:type="character" w:customStyle="1" w:styleId="Nadpis9Char">
    <w:name w:val="Nadpis 9 Char"/>
    <w:basedOn w:val="Predvolenpsmoodseku"/>
    <w:rPr>
      <w:rFonts w:ascii="Arial" w:eastAsia="Times New Roman" w:hAnsi="Arial" w:cs="Times New Roman"/>
      <w:i/>
      <w:kern w:val="3"/>
      <w:sz w:val="18"/>
      <w:szCs w:val="20"/>
    </w:rPr>
  </w:style>
  <w:style w:type="paragraph" w:customStyle="1" w:styleId="paragraph">
    <w:name w:val="paragraph"/>
    <w:basedOn w:val="Normlny"/>
    <w:pPr>
      <w:spacing w:before="100" w:after="10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Predvolenpsmoodseku"/>
  </w:style>
  <w:style w:type="character" w:customStyle="1" w:styleId="eop">
    <w:name w:val="eop"/>
    <w:basedOn w:val="Predvolenpsmoodseku"/>
  </w:style>
  <w:style w:type="character" w:customStyle="1" w:styleId="Odkaznakoment">
    <w:name w:val="Odkaz na komentář"/>
    <w:basedOn w:val="Standardnpsmoodstavce"/>
    <w:rPr>
      <w:sz w:val="16"/>
      <w:szCs w:val="16"/>
    </w:rPr>
  </w:style>
  <w:style w:type="paragraph" w:customStyle="1" w:styleId="Textkomente">
    <w:name w:val="Text komentáře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paragraph" w:customStyle="1" w:styleId="Pedmtkomente">
    <w:name w:val="Předmět komentáře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paragraph" w:customStyle="1" w:styleId="Revize">
    <w:name w:val="Revize"/>
    <w:pPr>
      <w:spacing w:after="0"/>
    </w:p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</w:style>
  <w:style w:type="character" w:customStyle="1" w:styleId="OdsekzoznamuChar">
    <w:name w:val="Odsek zoznamu Char"/>
  </w:style>
  <w:style w:type="numbering" w:customStyle="1" w:styleId="WWOutlineListStyle12">
    <w:name w:val="WW_OutlineListStyle_12"/>
    <w:basedOn w:val="Bezzoznamu"/>
    <w:pPr>
      <w:numPr>
        <w:numId w:val="2"/>
      </w:numPr>
    </w:pPr>
  </w:style>
  <w:style w:type="numbering" w:customStyle="1" w:styleId="WWOutlineListStyle11">
    <w:name w:val="WW_OutlineListStyle_11"/>
    <w:basedOn w:val="Bezzoznamu"/>
    <w:pPr>
      <w:numPr>
        <w:numId w:val="3"/>
      </w:numPr>
    </w:pPr>
  </w:style>
  <w:style w:type="numbering" w:customStyle="1" w:styleId="WWOutlineListStyle10">
    <w:name w:val="WW_OutlineListStyle_10"/>
    <w:basedOn w:val="Bezzoznamu"/>
    <w:pPr>
      <w:numPr>
        <w:numId w:val="4"/>
      </w:numPr>
    </w:pPr>
  </w:style>
  <w:style w:type="numbering" w:customStyle="1" w:styleId="WWOutlineListStyle8">
    <w:name w:val="WW_OutlineListStyle_8"/>
    <w:basedOn w:val="Bezzoznamu"/>
    <w:pPr>
      <w:numPr>
        <w:numId w:val="5"/>
      </w:numPr>
    </w:pPr>
  </w:style>
  <w:style w:type="numbering" w:customStyle="1" w:styleId="WWOutlineListStyle7">
    <w:name w:val="WW_OutlineListStyle_7"/>
    <w:basedOn w:val="Bezzoznamu"/>
    <w:pPr>
      <w:numPr>
        <w:numId w:val="6"/>
      </w:numPr>
    </w:pPr>
  </w:style>
  <w:style w:type="numbering" w:customStyle="1" w:styleId="WWOutlineListStyle5">
    <w:name w:val="WW_OutlineListStyle_5"/>
    <w:basedOn w:val="Bezzoznamu"/>
    <w:pPr>
      <w:numPr>
        <w:numId w:val="7"/>
      </w:numPr>
    </w:pPr>
  </w:style>
  <w:style w:type="numbering" w:customStyle="1" w:styleId="WWOutlineListStyle4">
    <w:name w:val="WW_OutlineListStyle_4"/>
    <w:basedOn w:val="Bezzoznamu"/>
    <w:pPr>
      <w:numPr>
        <w:numId w:val="8"/>
      </w:numPr>
    </w:pPr>
  </w:style>
  <w:style w:type="numbering" w:customStyle="1" w:styleId="WWOutlineListStyle3">
    <w:name w:val="WW_OutlineListStyle_3"/>
    <w:basedOn w:val="Bezzoznamu"/>
    <w:pPr>
      <w:numPr>
        <w:numId w:val="9"/>
      </w:numPr>
    </w:pPr>
  </w:style>
  <w:style w:type="numbering" w:customStyle="1" w:styleId="WWOutlineListStyle2">
    <w:name w:val="WW_OutlineListStyle_2"/>
    <w:basedOn w:val="Bezzoznamu"/>
    <w:pPr>
      <w:numPr>
        <w:numId w:val="10"/>
      </w:numPr>
    </w:pPr>
  </w:style>
  <w:style w:type="numbering" w:customStyle="1" w:styleId="WWOutlineListStyle1">
    <w:name w:val="WW_OutlineListStyle_1"/>
    <w:basedOn w:val="Bezzoznamu"/>
    <w:pPr>
      <w:numPr>
        <w:numId w:val="11"/>
      </w:numPr>
    </w:pPr>
  </w:style>
  <w:style w:type="numbering" w:customStyle="1" w:styleId="WWOutlineListStyle">
    <w:name w:val="WW_OutlineListStyle"/>
    <w:basedOn w:val="Bezzoznamu"/>
    <w:pPr>
      <w:numPr>
        <w:numId w:val="12"/>
      </w:numPr>
    </w:pPr>
  </w:style>
  <w:style w:type="numbering" w:customStyle="1" w:styleId="WWOutlineListStyle9">
    <w:name w:val="WW_OutlineListStyle_9"/>
    <w:basedOn w:val="Bezzoznamu"/>
    <w:pPr>
      <w:numPr>
        <w:numId w:val="13"/>
      </w:numPr>
    </w:pPr>
  </w:style>
  <w:style w:type="numbering" w:customStyle="1" w:styleId="WWOutlineListStyle6">
    <w:name w:val="WW_OutlineListStyle_6"/>
    <w:basedOn w:val="Bezzoznamu"/>
    <w:pPr>
      <w:numPr>
        <w:numId w:val="14"/>
      </w:numPr>
    </w:pPr>
  </w:style>
  <w:style w:type="numbering" w:customStyle="1" w:styleId="WWOutlineListStyle61">
    <w:name w:val="WW_OutlineListStyle_61"/>
    <w:basedOn w:val="Bezzoznamu"/>
    <w:pPr>
      <w:numPr>
        <w:numId w:val="15"/>
      </w:numPr>
    </w:pPr>
  </w:style>
  <w:style w:type="numbering" w:customStyle="1" w:styleId="WWOutlineListStyle62">
    <w:name w:val="WW_OutlineListStyle_62"/>
    <w:basedOn w:val="Bezzoznamu"/>
    <w:pPr>
      <w:numPr>
        <w:numId w:val="16"/>
      </w:numPr>
    </w:pPr>
  </w:style>
  <w:style w:type="numbering" w:customStyle="1" w:styleId="WWOutlineListStyle63">
    <w:name w:val="WW_OutlineListStyle_63"/>
    <w:basedOn w:val="Bezzoznamu"/>
    <w:pPr>
      <w:numPr>
        <w:numId w:val="17"/>
      </w:numPr>
    </w:pPr>
  </w:style>
  <w:style w:type="numbering" w:customStyle="1" w:styleId="WWOutlineListStyle64">
    <w:name w:val="WW_OutlineListStyle_64"/>
    <w:basedOn w:val="Bezzoznamu"/>
    <w:pPr>
      <w:numPr>
        <w:numId w:val="18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A31A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31A5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31A5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1A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1A51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567466"/>
    <w:pPr>
      <w:autoSpaceDN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2023-01-09T13:34:00Z</dcterms:created>
  <dcterms:modified xsi:type="dcterms:W3CDTF">2023-01-09T13:34:00Z</dcterms:modified>
</cp:coreProperties>
</file>