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744A50">
      <w:pPr>
        <w:numPr>
          <w:ilvl w:val="0"/>
          <w:numId w:val="28"/>
        </w:numPr>
        <w:spacing w:after="240"/>
        <w:ind w:left="357" w:hanging="357"/>
        <w:jc w:val="center"/>
        <w:rPr>
          <w:b/>
          <w:sz w:val="18"/>
          <w:szCs w:val="18"/>
        </w:rPr>
      </w:pPr>
      <w:r w:rsidRPr="00547139">
        <w:rPr>
          <w:b/>
          <w:sz w:val="18"/>
          <w:szCs w:val="18"/>
        </w:rPr>
        <w:t>Smluvní strany</w:t>
      </w:r>
    </w:p>
    <w:p w:rsidR="00EC0B78" w:rsidRPr="00547139" w:rsidRDefault="00EC0B78" w:rsidP="00EC0B78">
      <w:pPr>
        <w:pStyle w:val="Standardntext"/>
        <w:numPr>
          <w:ilvl w:val="0"/>
          <w:numId w:val="35"/>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CB16F7">
        <w:rPr>
          <w:rFonts w:ascii="Arial" w:hAnsi="Arial" w:cs="Arial"/>
          <w:sz w:val="18"/>
          <w:szCs w:val="18"/>
        </w:rPr>
        <w:tab/>
      </w:r>
      <w:r w:rsidRPr="00547139">
        <w:rPr>
          <w:rFonts w:ascii="Arial" w:hAnsi="Arial" w:cs="Arial"/>
          <w:sz w:val="18"/>
          <w:szCs w:val="18"/>
        </w:rPr>
        <w:tab/>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00CB16F7">
        <w:rPr>
          <w:sz w:val="18"/>
          <w:szCs w:val="18"/>
        </w:rPr>
        <w:tab/>
      </w:r>
      <w:r w:rsidRPr="00547139">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numPr>
          <w:ilvl w:val="0"/>
          <w:numId w:val="35"/>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Výchozí údaje</w:t>
      </w:r>
    </w:p>
    <w:p w:rsidR="00805336" w:rsidRPr="001C50AB"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C642C7">
        <w:rPr>
          <w:rFonts w:ascii="Arial" w:hAnsi="Arial" w:cs="Arial"/>
          <w:b/>
          <w:sz w:val="18"/>
          <w:szCs w:val="18"/>
        </w:rPr>
        <w:t>Oprava podlahy velké tělocvičny ZŠ Jesenická, Bruntál</w:t>
      </w:r>
    </w:p>
    <w:p w:rsidR="005D6A0E" w:rsidRPr="001C50AB" w:rsidRDefault="00F2448D" w:rsidP="005C3AAA">
      <w:pPr>
        <w:pStyle w:val="Default"/>
        <w:ind w:left="1276" w:hanging="1276"/>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1C50AB">
        <w:rPr>
          <w:rFonts w:ascii="Arial" w:hAnsi="Arial" w:cs="Arial"/>
          <w:sz w:val="18"/>
          <w:szCs w:val="18"/>
        </w:rPr>
        <w:t xml:space="preserve"> </w:t>
      </w:r>
      <w:r w:rsidR="001C50AB" w:rsidRPr="001C50AB">
        <w:rPr>
          <w:rFonts w:ascii="Arial" w:hAnsi="Arial" w:cs="Arial"/>
          <w:b/>
          <w:sz w:val="18"/>
          <w:szCs w:val="18"/>
        </w:rPr>
        <w:t xml:space="preserve">Areál </w:t>
      </w:r>
      <w:r w:rsidR="00C642C7">
        <w:rPr>
          <w:rFonts w:ascii="Arial" w:hAnsi="Arial" w:cs="Arial"/>
          <w:b/>
          <w:sz w:val="18"/>
          <w:szCs w:val="18"/>
        </w:rPr>
        <w:t xml:space="preserve">Základní školy Bruntál, Jesenická 10, </w:t>
      </w:r>
      <w:r w:rsidR="001C50AB" w:rsidRPr="001C50AB">
        <w:rPr>
          <w:rFonts w:ascii="Arial" w:hAnsi="Arial" w:cs="Arial"/>
          <w:b/>
          <w:sz w:val="18"/>
          <w:szCs w:val="18"/>
        </w:rPr>
        <w:t xml:space="preserve">na </w:t>
      </w:r>
      <w:r w:rsidR="001C50AB" w:rsidRPr="00C642C7">
        <w:rPr>
          <w:rFonts w:ascii="Arial" w:hAnsi="Arial" w:cs="Arial"/>
          <w:b/>
          <w:sz w:val="18"/>
          <w:szCs w:val="18"/>
        </w:rPr>
        <w:t>pozem</w:t>
      </w:r>
      <w:r w:rsidR="00C642C7" w:rsidRPr="00C642C7">
        <w:rPr>
          <w:rFonts w:ascii="Arial" w:hAnsi="Arial" w:cs="Arial"/>
          <w:b/>
          <w:sz w:val="18"/>
          <w:szCs w:val="18"/>
        </w:rPr>
        <w:t>ku parc. č. 2257/14</w:t>
      </w:r>
      <w:r w:rsidR="001C50AB" w:rsidRPr="001C50AB">
        <w:rPr>
          <w:rFonts w:ascii="Arial" w:hAnsi="Arial" w:cs="Arial"/>
          <w:b/>
          <w:sz w:val="18"/>
          <w:szCs w:val="18"/>
        </w:rPr>
        <w:t xml:space="preserve"> v k.ú. Bruntál-město</w:t>
      </w:r>
      <w:r w:rsidR="00C642C7">
        <w:rPr>
          <w:rFonts w:ascii="Arial" w:hAnsi="Arial" w:cs="Arial"/>
          <w:b/>
          <w:sz w:val="18"/>
          <w:szCs w:val="18"/>
        </w:rPr>
        <w:t>, budova tělocvičny</w:t>
      </w:r>
      <w:r w:rsidR="001C50AB" w:rsidRPr="001C50AB">
        <w:rPr>
          <w:rFonts w:ascii="Arial" w:hAnsi="Arial" w:cs="Arial"/>
          <w:b/>
          <w:sz w:val="18"/>
          <w:szCs w:val="18"/>
        </w:rPr>
        <w:t>.</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436620">
      <w:pPr>
        <w:numPr>
          <w:ilvl w:val="0"/>
          <w:numId w:val="14"/>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436620">
      <w:pPr>
        <w:numPr>
          <w:ilvl w:val="0"/>
          <w:numId w:val="14"/>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436620">
      <w:pPr>
        <w:numPr>
          <w:ilvl w:val="0"/>
          <w:numId w:val="14"/>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Předmět smlouvy</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vymezení díla</w:t>
      </w:r>
    </w:p>
    <w:p w:rsidR="00B85F65" w:rsidRPr="00325778" w:rsidRDefault="0007031D" w:rsidP="00B85F65">
      <w:pPr>
        <w:numPr>
          <w:ilvl w:val="0"/>
          <w:numId w:val="13"/>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535881">
        <w:rPr>
          <w:b/>
          <w:sz w:val="18"/>
          <w:szCs w:val="18"/>
        </w:rPr>
        <w:t>Oprava podlahy velké tělocvičny ZŠ Jesenická, Bruntál“</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836FD9">
        <w:rPr>
          <w:sz w:val="18"/>
          <w:szCs w:val="18"/>
          <w:lang w:val="en-US"/>
        </w:rPr>
        <w:t xml:space="preserve">, </w:t>
      </w:r>
      <w:r w:rsidRPr="00325778">
        <w:rPr>
          <w:sz w:val="18"/>
          <w:szCs w:val="18"/>
        </w:rPr>
        <w:t xml:space="preserve">dle předané </w:t>
      </w:r>
      <w:r w:rsidR="00836FD9">
        <w:rPr>
          <w:sz w:val="18"/>
          <w:szCs w:val="18"/>
        </w:rPr>
        <w:t>výkresové dokumentace (</w:t>
      </w:r>
      <w:r w:rsidR="00BD102F">
        <w:rPr>
          <w:sz w:val="18"/>
          <w:szCs w:val="18"/>
        </w:rPr>
        <w:t>technick</w:t>
      </w:r>
      <w:r w:rsidR="00836FD9">
        <w:rPr>
          <w:sz w:val="18"/>
          <w:szCs w:val="18"/>
        </w:rPr>
        <w:t>á</w:t>
      </w:r>
      <w:r w:rsidR="00BD102F">
        <w:rPr>
          <w:sz w:val="18"/>
          <w:szCs w:val="18"/>
        </w:rPr>
        <w:t xml:space="preserve"> zpráv</w:t>
      </w:r>
      <w:r w:rsidR="00836FD9">
        <w:rPr>
          <w:sz w:val="18"/>
          <w:szCs w:val="18"/>
        </w:rPr>
        <w:t>a</w:t>
      </w:r>
      <w:r w:rsidR="00BD102F">
        <w:rPr>
          <w:sz w:val="18"/>
          <w:szCs w:val="18"/>
        </w:rPr>
        <w:t>, situační výkres</w:t>
      </w:r>
      <w:r w:rsidR="00836FD9">
        <w:rPr>
          <w:sz w:val="18"/>
          <w:szCs w:val="18"/>
        </w:rPr>
        <w:t>y, půdorys stávajících potrubních rozvodů ÚT tělocvičny).</w:t>
      </w:r>
    </w:p>
    <w:p w:rsidR="0007031D"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436620">
      <w:pPr>
        <w:numPr>
          <w:ilvl w:val="0"/>
          <w:numId w:val="13"/>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436620">
      <w:pPr>
        <w:pStyle w:val="Zkladntextodsazen"/>
        <w:numPr>
          <w:ilvl w:val="0"/>
          <w:numId w:val="15"/>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436620">
      <w:pPr>
        <w:pStyle w:val="Zkladntextodsazen"/>
        <w:numPr>
          <w:ilvl w:val="1"/>
          <w:numId w:val="11"/>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436620">
      <w:pPr>
        <w:pStyle w:val="Zkladntextodsazen"/>
        <w:numPr>
          <w:ilvl w:val="1"/>
          <w:numId w:val="11"/>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436620">
      <w:pPr>
        <w:pStyle w:val="odrazka5"/>
        <w:numPr>
          <w:ilvl w:val="1"/>
          <w:numId w:val="16"/>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436620">
      <w:pPr>
        <w:pStyle w:val="odrazka5"/>
        <w:numPr>
          <w:ilvl w:val="1"/>
          <w:numId w:val="16"/>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836FD9">
      <w:pPr>
        <w:pStyle w:val="odrazka5"/>
        <w:numPr>
          <w:ilvl w:val="1"/>
          <w:numId w:val="16"/>
        </w:numPr>
        <w:tabs>
          <w:tab w:val="clear" w:pos="928"/>
        </w:tabs>
        <w:ind w:left="1418" w:hanging="284"/>
        <w:jc w:val="both"/>
        <w:rPr>
          <w:sz w:val="18"/>
          <w:szCs w:val="18"/>
        </w:rPr>
      </w:pPr>
      <w:r w:rsidRPr="00325778">
        <w:rPr>
          <w:color w:val="000000"/>
          <w:sz w:val="18"/>
          <w:szCs w:val="18"/>
        </w:rPr>
        <w:t xml:space="preserve">zajištění </w:t>
      </w:r>
      <w:r w:rsidR="00836FD9">
        <w:rPr>
          <w:color w:val="000000"/>
          <w:sz w:val="18"/>
          <w:szCs w:val="18"/>
        </w:rPr>
        <w:t xml:space="preserve">veškerých </w:t>
      </w:r>
      <w:r w:rsidRPr="00325778">
        <w:rPr>
          <w:color w:val="000000"/>
          <w:sz w:val="18"/>
          <w:szCs w:val="18"/>
        </w:rPr>
        <w:t>revizí</w:t>
      </w:r>
      <w:r w:rsidR="00F63954">
        <w:rPr>
          <w:color w:val="000000"/>
          <w:sz w:val="18"/>
          <w:szCs w:val="18"/>
        </w:rPr>
        <w:t xml:space="preserve"> a zkoušek</w:t>
      </w:r>
      <w:r w:rsidRPr="00325778">
        <w:rPr>
          <w:color w:val="000000"/>
          <w:sz w:val="18"/>
          <w:szCs w:val="18"/>
        </w:rPr>
        <w:t>, která jsou součástí díla</w:t>
      </w:r>
      <w:r w:rsidR="00836FD9">
        <w:rPr>
          <w:color w:val="000000"/>
          <w:sz w:val="18"/>
          <w:szCs w:val="18"/>
        </w:rPr>
        <w:t xml:space="preserve"> (mimo jiné revize nářadí tělocvičny, dotčené opravou podlahy</w:t>
      </w:r>
      <w:r w:rsidR="00F63954">
        <w:rPr>
          <w:color w:val="000000"/>
          <w:sz w:val="18"/>
          <w:szCs w:val="18"/>
        </w:rPr>
        <w:t>, tlakové zkoušky ÚT, apod.</w:t>
      </w:r>
      <w:r w:rsidR="00836FD9">
        <w:rPr>
          <w:color w:val="000000"/>
          <w:sz w:val="18"/>
          <w:szCs w:val="18"/>
        </w:rPr>
        <w:t>)</w:t>
      </w:r>
    </w:p>
    <w:p w:rsidR="005D6A0E" w:rsidRPr="00325778" w:rsidRDefault="00E16F4A" w:rsidP="00436620">
      <w:pPr>
        <w:pStyle w:val="odrazka5"/>
        <w:numPr>
          <w:ilvl w:val="1"/>
          <w:numId w:val="16"/>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436620">
      <w:pPr>
        <w:pStyle w:val="odrazka5"/>
        <w:numPr>
          <w:ilvl w:val="1"/>
          <w:numId w:val="16"/>
        </w:numPr>
        <w:tabs>
          <w:tab w:val="clear" w:pos="928"/>
        </w:tabs>
        <w:ind w:left="1418" w:hanging="284"/>
        <w:jc w:val="both"/>
        <w:rPr>
          <w:sz w:val="18"/>
          <w:szCs w:val="18"/>
        </w:rPr>
      </w:pPr>
      <w:r w:rsidRPr="00325778">
        <w:rPr>
          <w:snapToGrid w:val="0"/>
          <w:sz w:val="18"/>
          <w:szCs w:val="18"/>
        </w:rPr>
        <w:lastRenderedPageBreak/>
        <w:t>zhotovitel při realizaci díla bude ve stavebním deníku uvádět, kdy, kde a která sonda, kontrola či zkouška byla provedena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436620">
      <w:pPr>
        <w:pStyle w:val="Smlouva-slo"/>
        <w:numPr>
          <w:ilvl w:val="1"/>
          <w:numId w:val="11"/>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4051BD">
      <w:pPr>
        <w:pStyle w:val="Zkladntextodsazen"/>
        <w:numPr>
          <w:ilvl w:val="0"/>
          <w:numId w:val="15"/>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436620">
      <w:pPr>
        <w:numPr>
          <w:ilvl w:val="0"/>
          <w:numId w:val="2"/>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436620">
      <w:pPr>
        <w:pStyle w:val="Nadpis8"/>
        <w:keepNext w:val="0"/>
        <w:numPr>
          <w:ilvl w:val="0"/>
          <w:numId w:val="17"/>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436620">
      <w:pPr>
        <w:pStyle w:val="Nadpis8"/>
        <w:keepNext w:val="0"/>
        <w:numPr>
          <w:ilvl w:val="0"/>
          <w:numId w:val="17"/>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364F5E">
      <w:pPr>
        <w:pStyle w:val="Zkladntextodsazen"/>
        <w:numPr>
          <w:ilvl w:val="0"/>
          <w:numId w:val="18"/>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204647">
      <w:pPr>
        <w:pStyle w:val="Zkladntextodsazen"/>
        <w:numPr>
          <w:ilvl w:val="0"/>
          <w:numId w:val="18"/>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požadavky na dodržování bezpečnosti práce</w:t>
      </w:r>
    </w:p>
    <w:p w:rsidR="00D052C8" w:rsidRDefault="00D052C8" w:rsidP="004051BD">
      <w:pPr>
        <w:pStyle w:val="Zkladntext"/>
        <w:numPr>
          <w:ilvl w:val="0"/>
          <w:numId w:val="48"/>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364F5E">
      <w:pPr>
        <w:pStyle w:val="Zkladntext"/>
        <w:numPr>
          <w:ilvl w:val="0"/>
          <w:numId w:val="48"/>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364F5E">
      <w:pPr>
        <w:pStyle w:val="Zkladntext"/>
        <w:numPr>
          <w:ilvl w:val="0"/>
          <w:numId w:val="48"/>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lastRenderedPageBreak/>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364F5E">
      <w:pPr>
        <w:numPr>
          <w:ilvl w:val="0"/>
          <w:numId w:val="48"/>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093036">
      <w:pPr>
        <w:numPr>
          <w:ilvl w:val="0"/>
          <w:numId w:val="28"/>
        </w:numPr>
        <w:spacing w:after="240"/>
        <w:ind w:left="0" w:firstLine="0"/>
        <w:jc w:val="center"/>
        <w:rPr>
          <w:b/>
          <w:sz w:val="18"/>
          <w:szCs w:val="18"/>
        </w:rPr>
      </w:pPr>
      <w:r w:rsidRPr="00325778">
        <w:rPr>
          <w:b/>
          <w:sz w:val="18"/>
          <w:szCs w:val="18"/>
        </w:rPr>
        <w:t>Doklady o územním řízení a stavebním povolení</w:t>
      </w:r>
    </w:p>
    <w:p w:rsidR="00CB0B5A" w:rsidRPr="00BC4966" w:rsidRDefault="00BC4966" w:rsidP="00090620">
      <w:pPr>
        <w:pStyle w:val="Zkladntext"/>
        <w:numPr>
          <w:ilvl w:val="0"/>
          <w:numId w:val="44"/>
        </w:numPr>
        <w:ind w:left="426" w:hanging="426"/>
        <w:jc w:val="both"/>
        <w:rPr>
          <w:bCs/>
          <w:sz w:val="18"/>
          <w:szCs w:val="18"/>
        </w:rPr>
      </w:pPr>
      <w:r w:rsidRPr="00BC4966">
        <w:rPr>
          <w:sz w:val="18"/>
          <w:szCs w:val="18"/>
        </w:rPr>
        <w:t xml:space="preserve">Jedná se o udržovací práce </w:t>
      </w:r>
      <w:r w:rsidRPr="00BC4966">
        <w:rPr>
          <w:rFonts w:eastAsiaTheme="minorHAnsi"/>
          <w:color w:val="020003"/>
          <w:sz w:val="18"/>
          <w:szCs w:val="18"/>
          <w:lang w:eastAsia="en-US"/>
        </w:rPr>
        <w:t>rozsahu, který nemůže negativně ovlivnit zdraví osob, požární bezpečnost, stabilitu, vzhled stavby, životní prostředí ani bezpečnost při užívání, a proto podle § 103 odst</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1 písmeno</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c) stavebního zákona nevyžadují stavební povolení ani ohlášení stavebnímu úřadu</w:t>
      </w:r>
      <w:r w:rsidRPr="00BC4966">
        <w:rPr>
          <w:rFonts w:eastAsiaTheme="minorHAnsi"/>
          <w:color w:val="1E1B21"/>
          <w:sz w:val="18"/>
          <w:szCs w:val="18"/>
          <w:lang w:eastAsia="en-US"/>
        </w:rPr>
        <w:t>.</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Cena díla</w:t>
      </w:r>
    </w:p>
    <w:p w:rsidR="000D3490" w:rsidRPr="00325778" w:rsidRDefault="00280A31" w:rsidP="00436620">
      <w:pPr>
        <w:pStyle w:val="Zkladntext21"/>
        <w:numPr>
          <w:ilvl w:val="0"/>
          <w:numId w:val="20"/>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436620">
      <w:pPr>
        <w:pStyle w:val="Zkladntext21"/>
        <w:numPr>
          <w:ilvl w:val="0"/>
          <w:numId w:val="20"/>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436620">
      <w:pPr>
        <w:pStyle w:val="Textvbloku"/>
        <w:numPr>
          <w:ilvl w:val="0"/>
          <w:numId w:val="20"/>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F63954">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4138CB">
      <w:pPr>
        <w:numPr>
          <w:ilvl w:val="0"/>
          <w:numId w:val="20"/>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BC4966">
        <w:rPr>
          <w:b/>
          <w:bCs/>
          <w:sz w:val="18"/>
          <w:szCs w:val="18"/>
          <w:lang w:eastAsia="en-US"/>
        </w:rPr>
        <w:t>5</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w:t>
      </w:r>
      <w:r w:rsidRPr="00325778">
        <w:rPr>
          <w:sz w:val="18"/>
          <w:szCs w:val="18"/>
          <w:lang w:eastAsia="en-US"/>
        </w:rPr>
        <w:lastRenderedPageBreak/>
        <w:t xml:space="preserve">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436620">
      <w:pPr>
        <w:numPr>
          <w:ilvl w:val="0"/>
          <w:numId w:val="28"/>
        </w:numPr>
        <w:spacing w:after="240"/>
        <w:ind w:left="357" w:hanging="357"/>
        <w:jc w:val="center"/>
        <w:rPr>
          <w:b/>
          <w:sz w:val="18"/>
          <w:szCs w:val="18"/>
        </w:rPr>
      </w:pPr>
      <w:r w:rsidRPr="00325778">
        <w:rPr>
          <w:b/>
          <w:sz w:val="18"/>
          <w:szCs w:val="18"/>
        </w:rPr>
        <w:t>Termíny realizace</w:t>
      </w:r>
    </w:p>
    <w:p w:rsidR="000F5F66" w:rsidRPr="0008465E" w:rsidRDefault="000F5F66" w:rsidP="000F5F66">
      <w:pPr>
        <w:numPr>
          <w:ilvl w:val="0"/>
          <w:numId w:val="29"/>
        </w:numPr>
        <w:tabs>
          <w:tab w:val="clear" w:pos="794"/>
        </w:tabs>
        <w:ind w:left="425" w:hanging="425"/>
        <w:jc w:val="both"/>
        <w:rPr>
          <w:sz w:val="18"/>
          <w:szCs w:val="18"/>
        </w:rPr>
      </w:pPr>
      <w:r w:rsidRPr="00F303A2">
        <w:rPr>
          <w:sz w:val="18"/>
          <w:szCs w:val="18"/>
        </w:rPr>
        <w:t>Zhotovitel se zavazuje provést dílo v těchto termínech:</w:t>
      </w:r>
    </w:p>
    <w:p w:rsidR="000F5F66" w:rsidRPr="000F5F66" w:rsidRDefault="000F5F66" w:rsidP="000F5F66">
      <w:pPr>
        <w:numPr>
          <w:ilvl w:val="0"/>
          <w:numId w:val="49"/>
        </w:numPr>
        <w:tabs>
          <w:tab w:val="clear" w:pos="794"/>
        </w:tabs>
        <w:ind w:left="851"/>
        <w:jc w:val="both"/>
        <w:rPr>
          <w:sz w:val="18"/>
          <w:szCs w:val="18"/>
        </w:rPr>
      </w:pPr>
      <w:bookmarkStart w:id="0"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0"/>
      <w:r w:rsidRPr="000F5F66">
        <w:rPr>
          <w:b/>
          <w:color w:val="000000"/>
          <w:sz w:val="18"/>
          <w:szCs w:val="18"/>
        </w:rPr>
        <w:t xml:space="preserve">10 – ti pracovních dnů od písemné výzvy objednatele k převzetí staveniště </w:t>
      </w:r>
    </w:p>
    <w:p w:rsidR="000F5F66" w:rsidRPr="00651BEC" w:rsidRDefault="000F5F66" w:rsidP="000F5F66">
      <w:pPr>
        <w:numPr>
          <w:ilvl w:val="0"/>
          <w:numId w:val="49"/>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0F5F66" w:rsidRPr="000F5F66" w:rsidRDefault="000F5F66" w:rsidP="000F5F66">
      <w:pPr>
        <w:numPr>
          <w:ilvl w:val="0"/>
          <w:numId w:val="49"/>
        </w:numPr>
        <w:tabs>
          <w:tab w:val="clear" w:pos="794"/>
        </w:tabs>
        <w:ind w:left="851"/>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Pr>
          <w:b/>
          <w:bCs/>
          <w:sz w:val="18"/>
          <w:szCs w:val="18"/>
        </w:rPr>
        <w:t>14</w:t>
      </w:r>
      <w:r w:rsidRPr="000F5F66">
        <w:rPr>
          <w:b/>
          <w:bCs/>
          <w:sz w:val="18"/>
          <w:szCs w:val="18"/>
        </w:rPr>
        <w:t xml:space="preserve"> </w:t>
      </w:r>
      <w:r>
        <w:rPr>
          <w:b/>
          <w:bCs/>
          <w:sz w:val="18"/>
          <w:szCs w:val="18"/>
        </w:rPr>
        <w:t xml:space="preserve">týdnů </w:t>
      </w:r>
      <w:r w:rsidRPr="000F5F66">
        <w:rPr>
          <w:b/>
          <w:bCs/>
          <w:sz w:val="18"/>
          <w:szCs w:val="18"/>
        </w:rPr>
        <w:t>od zahájení díla</w:t>
      </w:r>
      <w:r w:rsidR="002939D5">
        <w:rPr>
          <w:b/>
          <w:bCs/>
          <w:sz w:val="18"/>
          <w:szCs w:val="18"/>
        </w:rPr>
        <w:t>.</w:t>
      </w:r>
    </w:p>
    <w:p w:rsidR="000F5F66" w:rsidRPr="000F5F66" w:rsidRDefault="000F5F66" w:rsidP="000F5F66">
      <w:pPr>
        <w:numPr>
          <w:ilvl w:val="0"/>
          <w:numId w:val="49"/>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r w:rsidRPr="00F303A2">
        <w:rPr>
          <w:b/>
          <w:sz w:val="18"/>
          <w:szCs w:val="18"/>
        </w:rPr>
        <w:t xml:space="preserve">10-ti pracovních 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rsidR="00DF3CEA" w:rsidRPr="00325778" w:rsidRDefault="0026763B" w:rsidP="00436620">
      <w:pPr>
        <w:numPr>
          <w:ilvl w:val="0"/>
          <w:numId w:val="29"/>
        </w:numPr>
        <w:tabs>
          <w:tab w:val="clear" w:pos="794"/>
        </w:tabs>
        <w:spacing w:before="60"/>
        <w:ind w:left="425" w:hanging="425"/>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sidR="002939D5">
        <w:rPr>
          <w:b/>
          <w:sz w:val="18"/>
          <w:szCs w:val="18"/>
        </w:rPr>
        <w:t xml:space="preserve">týdenního </w:t>
      </w:r>
      <w:r w:rsidRPr="0008465E">
        <w:rPr>
          <w:b/>
          <w:color w:val="000000"/>
          <w:sz w:val="18"/>
          <w:szCs w:val="18"/>
        </w:rPr>
        <w:t>harmonogram</w:t>
      </w:r>
      <w:r>
        <w:rPr>
          <w:b/>
          <w:color w:val="000000"/>
          <w:sz w:val="18"/>
          <w:szCs w:val="18"/>
        </w:rPr>
        <w:t>u</w:t>
      </w:r>
      <w:r w:rsidR="002939D5">
        <w:rPr>
          <w:b/>
          <w:color w:val="000000"/>
          <w:sz w:val="18"/>
          <w:szCs w:val="18"/>
        </w:rPr>
        <w:t xml:space="preserve"> stavebních </w:t>
      </w:r>
      <w:r w:rsidRPr="0008465E">
        <w:rPr>
          <w:b/>
          <w:color w:val="000000"/>
          <w:sz w:val="18"/>
          <w:szCs w:val="18"/>
        </w:rPr>
        <w:t xml:space="preserve">prací s uvedením finančního plnění za jednotlivé kalendářní </w:t>
      </w:r>
      <w:r>
        <w:rPr>
          <w:b/>
          <w:color w:val="000000"/>
          <w:sz w:val="18"/>
          <w:szCs w:val="18"/>
        </w:rPr>
        <w:t>týdny</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5D6A0E" w:rsidRDefault="005D6A0E" w:rsidP="00436620">
      <w:pPr>
        <w:numPr>
          <w:ilvl w:val="0"/>
          <w:numId w:val="29"/>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sidR="000F5F66">
        <w:rPr>
          <w:sz w:val="18"/>
          <w:szCs w:val="18"/>
        </w:rPr>
        <w:t>1</w:t>
      </w:r>
      <w:r w:rsidRPr="00BD2225">
        <w:rPr>
          <w:sz w:val="18"/>
          <w:szCs w:val="18"/>
        </w:rPr>
        <w:t>.</w:t>
      </w:r>
      <w:r w:rsidR="0067752A">
        <w:rPr>
          <w:sz w:val="18"/>
          <w:szCs w:val="18"/>
        </w:rPr>
        <w:t>c)</w:t>
      </w:r>
      <w:r w:rsidRPr="00BD2225">
        <w:rPr>
          <w:sz w:val="18"/>
          <w:szCs w:val="18"/>
        </w:rPr>
        <w:t xml:space="preserve"> této smlouvy</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F1263C" w:rsidRPr="00325778" w:rsidRDefault="00F1263C" w:rsidP="00436620">
      <w:pPr>
        <w:numPr>
          <w:ilvl w:val="0"/>
          <w:numId w:val="29"/>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sidR="00060967">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C14000">
      <w:pPr>
        <w:numPr>
          <w:ilvl w:val="0"/>
          <w:numId w:val="28"/>
        </w:numPr>
        <w:spacing w:after="240"/>
        <w:ind w:left="357" w:hanging="357"/>
        <w:jc w:val="center"/>
        <w:rPr>
          <w:b/>
          <w:sz w:val="18"/>
          <w:szCs w:val="18"/>
        </w:rPr>
      </w:pPr>
      <w:r w:rsidRPr="00325778">
        <w:rPr>
          <w:b/>
          <w:sz w:val="18"/>
          <w:szCs w:val="18"/>
        </w:rPr>
        <w:t>Staveniště</w:t>
      </w:r>
    </w:p>
    <w:p w:rsidR="00504597" w:rsidRDefault="00504597" w:rsidP="00436620">
      <w:pPr>
        <w:pStyle w:val="Zkladntext2"/>
        <w:numPr>
          <w:ilvl w:val="0"/>
          <w:numId w:val="24"/>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w:t>
      </w:r>
      <w:r w:rsidR="0067752A">
        <w:rPr>
          <w:bCs/>
          <w:iCs/>
          <w:sz w:val="18"/>
          <w:szCs w:val="18"/>
        </w:rPr>
        <w:t>a)</w:t>
      </w:r>
      <w:r w:rsidRPr="00325778">
        <w:rPr>
          <w:bCs/>
          <w:iCs/>
          <w:sz w:val="18"/>
          <w:szCs w:val="18"/>
        </w:rPr>
        <w:t xml:space="preserve"> této smlouvy. O předání staveniště sepíší strany písemný protokol, ve kterém zhotovitel potvrdí, že převzal staveniště v souladu s touto smlouvou.</w:t>
      </w:r>
    </w:p>
    <w:p w:rsidR="00504597" w:rsidRPr="00325778" w:rsidRDefault="00504597" w:rsidP="00436620">
      <w:pPr>
        <w:pStyle w:val="Jednotlivbodysml"/>
        <w:numPr>
          <w:ilvl w:val="0"/>
          <w:numId w:val="24"/>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436620">
      <w:pPr>
        <w:pStyle w:val="Zkladntext"/>
        <w:numPr>
          <w:ilvl w:val="0"/>
          <w:numId w:val="24"/>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436620">
      <w:pPr>
        <w:pStyle w:val="Zkladntext"/>
        <w:numPr>
          <w:ilvl w:val="0"/>
          <w:numId w:val="24"/>
        </w:numPr>
        <w:spacing w:before="60"/>
        <w:ind w:left="425" w:hanging="425"/>
        <w:jc w:val="both"/>
        <w:rPr>
          <w:sz w:val="18"/>
          <w:szCs w:val="18"/>
        </w:rPr>
      </w:pPr>
      <w:bookmarkStart w:id="1" w:name="_Ref521218086"/>
      <w:r w:rsidRPr="00325778">
        <w:rPr>
          <w:sz w:val="18"/>
          <w:szCs w:val="18"/>
        </w:rPr>
        <w:t>Zhotovitel se zavazuje řádně označit staveniště v souladu s obecně platnými právními předpisy.</w:t>
      </w:r>
      <w:bookmarkEnd w:id="1"/>
      <w:r w:rsidRPr="00325778">
        <w:rPr>
          <w:sz w:val="18"/>
          <w:szCs w:val="18"/>
        </w:rPr>
        <w:t xml:space="preserve"> </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436620">
      <w:pPr>
        <w:numPr>
          <w:ilvl w:val="0"/>
          <w:numId w:val="24"/>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436620">
      <w:pPr>
        <w:numPr>
          <w:ilvl w:val="0"/>
          <w:numId w:val="24"/>
        </w:numPr>
        <w:spacing w:before="60"/>
        <w:ind w:left="425" w:hanging="425"/>
        <w:jc w:val="both"/>
        <w:rPr>
          <w:sz w:val="18"/>
          <w:szCs w:val="18"/>
        </w:rPr>
      </w:pPr>
      <w:r w:rsidRPr="00325778">
        <w:rPr>
          <w:sz w:val="18"/>
          <w:szCs w:val="18"/>
        </w:rPr>
        <w:t>Zhotovitel se zavazuj</w:t>
      </w:r>
      <w:r w:rsidR="002939D5">
        <w:rPr>
          <w:sz w:val="18"/>
          <w:szCs w:val="18"/>
        </w:rPr>
        <w:t>e v termínu sjednaném v čl. VI.1</w:t>
      </w:r>
      <w:r w:rsidR="00FE0EC7" w:rsidRPr="00325778">
        <w:rPr>
          <w:sz w:val="18"/>
          <w:szCs w:val="18"/>
        </w:rPr>
        <w:t>.</w:t>
      </w:r>
      <w:r w:rsidR="0067752A">
        <w:rPr>
          <w:sz w:val="18"/>
          <w:szCs w:val="18"/>
        </w:rPr>
        <w:t>d)</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Default="006A4E06" w:rsidP="0050623F">
      <w:pPr>
        <w:rPr>
          <w:sz w:val="18"/>
          <w:szCs w:val="18"/>
        </w:rPr>
      </w:pPr>
    </w:p>
    <w:p w:rsidR="0015411F" w:rsidRPr="00325778" w:rsidRDefault="0015411F" w:rsidP="0050623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Požadavky na zhotovitele</w:t>
      </w:r>
    </w:p>
    <w:p w:rsidR="005D6A0E" w:rsidRPr="00325778" w:rsidRDefault="005D6A0E" w:rsidP="00436620">
      <w:pPr>
        <w:numPr>
          <w:ilvl w:val="0"/>
          <w:numId w:val="4"/>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436620">
      <w:pPr>
        <w:numPr>
          <w:ilvl w:val="0"/>
          <w:numId w:val="4"/>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436620">
      <w:pPr>
        <w:numPr>
          <w:ilvl w:val="0"/>
          <w:numId w:val="5"/>
        </w:numPr>
        <w:spacing w:before="60"/>
        <w:ind w:left="425" w:hanging="425"/>
        <w:jc w:val="both"/>
        <w:rPr>
          <w:b/>
          <w:sz w:val="18"/>
          <w:szCs w:val="18"/>
        </w:rPr>
      </w:pPr>
      <w:r w:rsidRPr="00325778">
        <w:rPr>
          <w:b/>
          <w:sz w:val="18"/>
          <w:szCs w:val="18"/>
        </w:rPr>
        <w:t>Zhotovitel je povinen:</w:t>
      </w:r>
    </w:p>
    <w:p w:rsidR="005D6A0E" w:rsidRPr="00B03EB4" w:rsidRDefault="00F81326" w:rsidP="00745F90">
      <w:pPr>
        <w:numPr>
          <w:ilvl w:val="0"/>
          <w:numId w:val="21"/>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15411F" w:rsidRDefault="00D22E36"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předložit objednateli před</w:t>
      </w:r>
      <w:r w:rsidR="0011463D">
        <w:rPr>
          <w:b/>
          <w:sz w:val="18"/>
          <w:szCs w:val="18"/>
        </w:rPr>
        <w:t xml:space="preserve"> uzavřením této smlouvy</w:t>
      </w:r>
      <w:r w:rsidRPr="00325778">
        <w:rPr>
          <w:b/>
          <w:sz w:val="18"/>
          <w:szCs w:val="18"/>
        </w:rPr>
        <w:t xml:space="preserve"> </w:t>
      </w:r>
      <w:r w:rsidR="0011463D" w:rsidRPr="00F303A2">
        <w:rPr>
          <w:b/>
          <w:sz w:val="18"/>
          <w:szCs w:val="18"/>
        </w:rPr>
        <w:t xml:space="preserve">doklad o pojištění odpovědnosti, jejímž předmětem je pojištění stavebně montážní ve výši nejméně odpovídající ceně stavebně montážních prací včetně DPH, sjednaných dle této smlouvy. </w:t>
      </w:r>
      <w:r w:rsidR="0011463D">
        <w:rPr>
          <w:b/>
          <w:sz w:val="18"/>
          <w:szCs w:val="18"/>
        </w:rPr>
        <w:t xml:space="preserve">Pojištění bude sjednáno v pojistné smlouvě se spoluúčastí nepřesahující výši 10% z pojistné částky. </w:t>
      </w:r>
      <w:r w:rsidR="0011463D"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436620">
      <w:pPr>
        <w:numPr>
          <w:ilvl w:val="0"/>
          <w:numId w:val="6"/>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436620">
      <w:pPr>
        <w:numPr>
          <w:ilvl w:val="0"/>
          <w:numId w:val="22"/>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436620">
      <w:pPr>
        <w:numPr>
          <w:ilvl w:val="0"/>
          <w:numId w:val="22"/>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15411F" w:rsidRDefault="0015411F"/>
    <w:p w:rsidR="0015411F" w:rsidRPr="00325778" w:rsidRDefault="0015411F" w:rsidP="0015411F"/>
    <w:p w:rsidR="005D6A0E" w:rsidRPr="00325778" w:rsidRDefault="005D6A0E" w:rsidP="00436620">
      <w:pPr>
        <w:numPr>
          <w:ilvl w:val="0"/>
          <w:numId w:val="6"/>
        </w:numPr>
        <w:spacing w:before="60"/>
        <w:ind w:left="425" w:hanging="425"/>
        <w:jc w:val="both"/>
        <w:rPr>
          <w:sz w:val="18"/>
          <w:szCs w:val="18"/>
        </w:rPr>
      </w:pPr>
      <w:r w:rsidRPr="00325778">
        <w:rPr>
          <w:sz w:val="18"/>
          <w:szCs w:val="18"/>
        </w:rPr>
        <w:lastRenderedPageBreak/>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436620">
      <w:pPr>
        <w:numPr>
          <w:ilvl w:val="0"/>
          <w:numId w:val="6"/>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436620">
      <w:pPr>
        <w:numPr>
          <w:ilvl w:val="0"/>
          <w:numId w:val="6"/>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436620">
      <w:pPr>
        <w:numPr>
          <w:ilvl w:val="0"/>
          <w:numId w:val="6"/>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436620">
      <w:pPr>
        <w:numPr>
          <w:ilvl w:val="0"/>
          <w:numId w:val="6"/>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436620">
      <w:pPr>
        <w:numPr>
          <w:ilvl w:val="0"/>
          <w:numId w:val="6"/>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Default="0095651B" w:rsidP="0095651B">
      <w:pPr>
        <w:spacing w:before="60"/>
        <w:jc w:val="both"/>
        <w:rPr>
          <w:sz w:val="18"/>
          <w:szCs w:val="18"/>
        </w:rPr>
      </w:pPr>
    </w:p>
    <w:p w:rsidR="0015411F" w:rsidRDefault="0015411F" w:rsidP="0015411F">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436620">
      <w:pPr>
        <w:pStyle w:val="Zkladntext21"/>
        <w:numPr>
          <w:ilvl w:val="0"/>
          <w:numId w:val="7"/>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745F90">
      <w:pPr>
        <w:numPr>
          <w:ilvl w:val="0"/>
          <w:numId w:val="12"/>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lastRenderedPageBreak/>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5D6A0E" w:rsidRPr="00325778" w:rsidRDefault="00155457" w:rsidP="00436620">
      <w:pPr>
        <w:numPr>
          <w:ilvl w:val="0"/>
          <w:numId w:val="28"/>
        </w:numPr>
        <w:spacing w:after="240"/>
        <w:ind w:left="357" w:hanging="357"/>
        <w:jc w:val="center"/>
        <w:rPr>
          <w:b/>
          <w:sz w:val="18"/>
          <w:szCs w:val="18"/>
        </w:rPr>
      </w:pPr>
      <w:r w:rsidRPr="00325778">
        <w:rPr>
          <w:b/>
          <w:sz w:val="18"/>
          <w:szCs w:val="18"/>
        </w:rPr>
        <w:t>Odpovědnost za vady – záruka</w:t>
      </w:r>
    </w:p>
    <w:p w:rsidR="00FE640F" w:rsidRPr="00325778" w:rsidRDefault="00FE640F" w:rsidP="00436620">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2" w:name="_Ref499012177"/>
    </w:p>
    <w:p w:rsidR="00FE640F" w:rsidRPr="00325778" w:rsidRDefault="00FE640F" w:rsidP="00436620">
      <w:pPr>
        <w:pStyle w:val="Jednotlivbodysml"/>
        <w:numPr>
          <w:ilvl w:val="0"/>
          <w:numId w:val="26"/>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1F3DD7">
      <w:pPr>
        <w:numPr>
          <w:ilvl w:val="0"/>
          <w:numId w:val="47"/>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5836CA">
      <w:pPr>
        <w:pStyle w:val="Standardntext"/>
        <w:numPr>
          <w:ilvl w:val="0"/>
          <w:numId w:val="26"/>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5836CA">
      <w:pPr>
        <w:pStyle w:val="Jednotlivbodysml"/>
        <w:numPr>
          <w:ilvl w:val="0"/>
          <w:numId w:val="26"/>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5836CA">
      <w:pPr>
        <w:numPr>
          <w:ilvl w:val="0"/>
          <w:numId w:val="26"/>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Default="001F3DD7" w:rsidP="0047439F">
      <w:pPr>
        <w:rPr>
          <w:sz w:val="18"/>
          <w:szCs w:val="18"/>
        </w:rPr>
      </w:pPr>
    </w:p>
    <w:p w:rsidR="0015411F" w:rsidRDefault="0015411F">
      <w:pPr>
        <w:rPr>
          <w:sz w:val="18"/>
          <w:szCs w:val="18"/>
        </w:rPr>
      </w:pPr>
      <w:r>
        <w:rPr>
          <w:sz w:val="18"/>
          <w:szCs w:val="18"/>
        </w:rPr>
        <w:br w:type="page"/>
      </w:r>
    </w:p>
    <w:p w:rsidR="0015411F" w:rsidRPr="00325778" w:rsidRDefault="0015411F" w:rsidP="0047439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Smluvní pokuty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9409A7">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9409A7">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dle čl. VI.</w:t>
      </w:r>
      <w:r w:rsidR="009409A7">
        <w:rPr>
          <w:rFonts w:ascii="Arial" w:hAnsi="Arial" w:cs="Arial"/>
          <w:sz w:val="18"/>
          <w:szCs w:val="18"/>
        </w:rPr>
        <w:t>1.b)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w:t>
      </w:r>
      <w:r w:rsidR="00A32507">
        <w:rPr>
          <w:rFonts w:ascii="Arial" w:hAnsi="Arial" w:cs="Arial"/>
          <w:b/>
          <w:sz w:val="18"/>
          <w:szCs w:val="18"/>
        </w:rPr>
        <w:t>1</w:t>
      </w:r>
      <w:r>
        <w:rPr>
          <w:rFonts w:ascii="Arial" w:hAnsi="Arial" w:cs="Arial"/>
          <w:b/>
          <w:sz w:val="18"/>
          <w:szCs w:val="18"/>
        </w:rPr>
        <w:t>.</w:t>
      </w:r>
      <w:r w:rsidR="00650C98">
        <w:rPr>
          <w:rFonts w:ascii="Arial" w:hAnsi="Arial" w:cs="Arial"/>
          <w:b/>
          <w:sz w:val="18"/>
          <w:szCs w:val="18"/>
        </w:rPr>
        <w:t>c)</w:t>
      </w:r>
      <w:r>
        <w:rPr>
          <w:rFonts w:ascii="Arial" w:hAnsi="Arial" w:cs="Arial"/>
          <w:b/>
          <w:sz w:val="18"/>
          <w:szCs w:val="18"/>
        </w:rPr>
        <w:t xml:space="preserve"> této smlouvy.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 předmětu díla objednateli</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 xml:space="preserve">)iv.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w:t>
      </w:r>
      <w:r w:rsidR="00235CB5">
        <w:rPr>
          <w:rFonts w:ascii="Arial" w:hAnsi="Arial" w:cs="Arial"/>
          <w:b/>
          <w:sz w:val="18"/>
          <w:szCs w:val="18"/>
        </w:rPr>
        <w:t>ů</w:t>
      </w:r>
      <w:bookmarkStart w:id="3" w:name="_GoBack"/>
      <w:bookmarkEnd w:id="3"/>
      <w:r w:rsidRPr="00325778">
        <w:rPr>
          <w:rFonts w:ascii="Arial" w:hAnsi="Arial" w:cs="Arial"/>
          <w:sz w:val="18"/>
          <w:szCs w:val="18"/>
        </w:rPr>
        <w:t xml:space="preserve"> od jejího vystavení.</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Podmínky provádění díla za provozu </w:t>
      </w:r>
    </w:p>
    <w:p w:rsidR="00BD7A9C" w:rsidRDefault="00E70BD2" w:rsidP="005418C4">
      <w:pPr>
        <w:pStyle w:val="Zkladntextodsazen"/>
        <w:numPr>
          <w:ilvl w:val="0"/>
          <w:numId w:val="31"/>
        </w:numPr>
        <w:spacing w:before="60"/>
        <w:ind w:left="425" w:hanging="425"/>
        <w:rPr>
          <w:i w:val="0"/>
          <w:color w:val="auto"/>
          <w:sz w:val="18"/>
          <w:szCs w:val="18"/>
        </w:rPr>
      </w:pPr>
      <w:r>
        <w:rPr>
          <w:i w:val="0"/>
          <w:color w:val="auto"/>
          <w:sz w:val="18"/>
          <w:szCs w:val="18"/>
        </w:rPr>
        <w:t xml:space="preserve">Stavební práce budou </w:t>
      </w:r>
      <w:r w:rsidR="0068031F">
        <w:rPr>
          <w:i w:val="0"/>
          <w:color w:val="auto"/>
          <w:sz w:val="18"/>
          <w:szCs w:val="18"/>
        </w:rPr>
        <w:t xml:space="preserve">částečně </w:t>
      </w:r>
      <w:r>
        <w:rPr>
          <w:i w:val="0"/>
          <w:color w:val="auto"/>
          <w:sz w:val="18"/>
          <w:szCs w:val="18"/>
        </w:rPr>
        <w:t xml:space="preserve">probíhat za provozu </w:t>
      </w:r>
      <w:r w:rsidR="0068031F">
        <w:rPr>
          <w:i w:val="0"/>
          <w:color w:val="auto"/>
          <w:sz w:val="18"/>
          <w:szCs w:val="18"/>
        </w:rPr>
        <w:t xml:space="preserve">základní </w:t>
      </w:r>
      <w:r>
        <w:rPr>
          <w:i w:val="0"/>
          <w:color w:val="auto"/>
          <w:sz w:val="18"/>
          <w:szCs w:val="18"/>
        </w:rPr>
        <w:t>školy a z</w:t>
      </w:r>
      <w:r w:rsidR="00BD7A9C" w:rsidRPr="00325778">
        <w:rPr>
          <w:i w:val="0"/>
          <w:color w:val="auto"/>
          <w:sz w:val="18"/>
          <w:szCs w:val="18"/>
        </w:rPr>
        <w:t xml:space="preserve">hotovitel </w:t>
      </w:r>
      <w:r>
        <w:rPr>
          <w:i w:val="0"/>
          <w:color w:val="auto"/>
          <w:sz w:val="18"/>
          <w:szCs w:val="18"/>
        </w:rPr>
        <w:t>se seznámil s provozními podmínkami</w:t>
      </w:r>
      <w:r w:rsidR="0068031F">
        <w:rPr>
          <w:i w:val="0"/>
          <w:color w:val="auto"/>
          <w:sz w:val="18"/>
          <w:szCs w:val="18"/>
        </w:rPr>
        <w:t xml:space="preserve"> základní </w:t>
      </w:r>
      <w:r>
        <w:rPr>
          <w:i w:val="0"/>
          <w:color w:val="auto"/>
          <w:sz w:val="18"/>
          <w:szCs w:val="18"/>
        </w:rPr>
        <w:t xml:space="preserve">školy 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 xml:space="preserve">k ohrožení na zdraví či životech uživatelů </w:t>
      </w:r>
      <w:r w:rsidR="0068031F">
        <w:rPr>
          <w:i w:val="0"/>
          <w:color w:val="auto"/>
          <w:sz w:val="18"/>
          <w:szCs w:val="18"/>
        </w:rPr>
        <w:t xml:space="preserve">základní </w:t>
      </w:r>
      <w:r>
        <w:rPr>
          <w:i w:val="0"/>
          <w:color w:val="auto"/>
          <w:sz w:val="18"/>
          <w:szCs w:val="18"/>
        </w:rPr>
        <w:t xml:space="preserve">školy a poškození majetku </w:t>
      </w:r>
      <w:r w:rsidR="0068031F">
        <w:rPr>
          <w:i w:val="0"/>
          <w:color w:val="auto"/>
          <w:sz w:val="18"/>
          <w:szCs w:val="18"/>
        </w:rPr>
        <w:t xml:space="preserve">základní </w:t>
      </w:r>
      <w:r>
        <w:rPr>
          <w:i w:val="0"/>
          <w:color w:val="auto"/>
          <w:sz w:val="18"/>
          <w:szCs w:val="18"/>
        </w:rPr>
        <w:t>školy.</w:t>
      </w:r>
    </w:p>
    <w:p w:rsidR="00CE1C20" w:rsidRPr="00325778" w:rsidRDefault="00CE1C20" w:rsidP="00CE1C20">
      <w:pPr>
        <w:pStyle w:val="Zkladntextodsazen"/>
        <w:spacing w:before="60"/>
        <w:ind w:firstLine="0"/>
        <w:rPr>
          <w:i w:val="0"/>
          <w:color w:val="auto"/>
          <w:sz w:val="18"/>
          <w:szCs w:val="18"/>
        </w:rPr>
      </w:pPr>
    </w:p>
    <w:p w:rsidR="002C29ED" w:rsidRPr="00325778" w:rsidRDefault="002C29ED" w:rsidP="00EB6B1C">
      <w:pPr>
        <w:ind w:right="283"/>
        <w:jc w:val="both"/>
        <w:rPr>
          <w:b/>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Ostatní podmínky </w:t>
      </w:r>
    </w:p>
    <w:p w:rsidR="005D6A0E" w:rsidRPr="00325778" w:rsidRDefault="00C75750" w:rsidP="005418C4">
      <w:pPr>
        <w:numPr>
          <w:ilvl w:val="0"/>
          <w:numId w:val="9"/>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5418C4">
      <w:pPr>
        <w:numPr>
          <w:ilvl w:val="0"/>
          <w:numId w:val="9"/>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5418C4">
      <w:pPr>
        <w:numPr>
          <w:ilvl w:val="0"/>
          <w:numId w:val="9"/>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5418C4">
      <w:pPr>
        <w:numPr>
          <w:ilvl w:val="0"/>
          <w:numId w:val="9"/>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5418C4">
      <w:pPr>
        <w:numPr>
          <w:ilvl w:val="0"/>
          <w:numId w:val="9"/>
        </w:numPr>
        <w:spacing w:before="60"/>
        <w:ind w:left="425" w:hanging="425"/>
        <w:jc w:val="both"/>
        <w:rPr>
          <w:b/>
          <w:sz w:val="18"/>
          <w:szCs w:val="18"/>
        </w:rPr>
      </w:pPr>
      <w:r w:rsidRPr="00325778">
        <w:rPr>
          <w:sz w:val="18"/>
          <w:szCs w:val="18"/>
        </w:rPr>
        <w:lastRenderedPageBreak/>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5418C4">
      <w:pPr>
        <w:numPr>
          <w:ilvl w:val="0"/>
          <w:numId w:val="9"/>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5418C4">
      <w:pPr>
        <w:pStyle w:val="Zkladntext"/>
        <w:numPr>
          <w:ilvl w:val="0"/>
          <w:numId w:val="9"/>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B0A9D">
      <w:pPr>
        <w:pStyle w:val="Odstavecseseznamem"/>
        <w:numPr>
          <w:ilvl w:val="0"/>
          <w:numId w:val="9"/>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B0A9D">
      <w:pPr>
        <w:pStyle w:val="Zkladntext21"/>
        <w:numPr>
          <w:ilvl w:val="0"/>
          <w:numId w:val="9"/>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B0A9D">
      <w:pPr>
        <w:numPr>
          <w:ilvl w:val="0"/>
          <w:numId w:val="9"/>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B0A9D">
      <w:pPr>
        <w:numPr>
          <w:ilvl w:val="0"/>
          <w:numId w:val="9"/>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BB0A9D">
      <w:pPr>
        <w:numPr>
          <w:ilvl w:val="0"/>
          <w:numId w:val="9"/>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B0A9D">
      <w:pPr>
        <w:pStyle w:val="Zkladntext"/>
        <w:numPr>
          <w:ilvl w:val="0"/>
          <w:numId w:val="9"/>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BB0A9D">
      <w:pPr>
        <w:pStyle w:val="Zkladntext"/>
        <w:numPr>
          <w:ilvl w:val="0"/>
          <w:numId w:val="9"/>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D7A6F">
      <w:pPr>
        <w:pStyle w:val="Jednotlivbodysml"/>
        <w:numPr>
          <w:ilvl w:val="0"/>
          <w:numId w:val="40"/>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C14191">
      <w:pPr>
        <w:pStyle w:val="Zkladntext"/>
        <w:numPr>
          <w:ilvl w:val="0"/>
          <w:numId w:val="9"/>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C14191">
      <w:pPr>
        <w:pStyle w:val="Odstavecseseznamem"/>
        <w:numPr>
          <w:ilvl w:val="0"/>
          <w:numId w:val="9"/>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235CB5">
          <w:rPr>
            <w:noProof/>
          </w:rPr>
          <w:t>10</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556BF9" w:rsidRDefault="00C642C7" w:rsidP="00A74AE2">
    <w:pPr>
      <w:pStyle w:val="Zhlav"/>
      <w:jc w:val="center"/>
      <w:rPr>
        <w:b/>
      </w:rPr>
    </w:pPr>
    <w:r>
      <w:rPr>
        <w:b/>
      </w:rPr>
      <w:t>Oprava podlahy velké tělocvičny ZŠ Jesenická, Bruntál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2"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6"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3DF114DB"/>
    <w:multiLevelType w:val="hybridMultilevel"/>
    <w:tmpl w:val="816CB3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0"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33"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9"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40"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5"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9"/>
  </w:num>
  <w:num w:numId="2">
    <w:abstractNumId w:val="38"/>
  </w:num>
  <w:num w:numId="3">
    <w:abstractNumId w:val="18"/>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44"/>
  </w:num>
  <w:num w:numId="8">
    <w:abstractNumId w:val="24"/>
  </w:num>
  <w:num w:numId="9">
    <w:abstractNumId w:val="5"/>
  </w:num>
  <w:num w:numId="10">
    <w:abstractNumId w:val="0"/>
  </w:num>
  <w:num w:numId="11">
    <w:abstractNumId w:val="28"/>
  </w:num>
  <w:num w:numId="12">
    <w:abstractNumId w:val="40"/>
  </w:num>
  <w:num w:numId="13">
    <w:abstractNumId w:val="15"/>
  </w:num>
  <w:num w:numId="14">
    <w:abstractNumId w:val="11"/>
  </w:num>
  <w:num w:numId="15">
    <w:abstractNumId w:val="27"/>
  </w:num>
  <w:num w:numId="16">
    <w:abstractNumId w:val="17"/>
  </w:num>
  <w:num w:numId="17">
    <w:abstractNumId w:val="42"/>
  </w:num>
  <w:num w:numId="18">
    <w:abstractNumId w:val="23"/>
  </w:num>
  <w:num w:numId="19">
    <w:abstractNumId w:val="29"/>
  </w:num>
  <w:num w:numId="20">
    <w:abstractNumId w:val="21"/>
  </w:num>
  <w:num w:numId="21">
    <w:abstractNumId w:val="30"/>
  </w:num>
  <w:num w:numId="22">
    <w:abstractNumId w:val="10"/>
  </w:num>
  <w:num w:numId="23">
    <w:abstractNumId w:val="35"/>
  </w:num>
  <w:num w:numId="24">
    <w:abstractNumId w:val="6"/>
  </w:num>
  <w:num w:numId="25">
    <w:abstractNumId w:val="45"/>
  </w:num>
  <w:num w:numId="26">
    <w:abstractNumId w:val="43"/>
  </w:num>
  <w:num w:numId="27">
    <w:abstractNumId w:val="13"/>
  </w:num>
  <w:num w:numId="28">
    <w:abstractNumId w:val="12"/>
  </w:num>
  <w:num w:numId="29">
    <w:abstractNumId w:val="46"/>
  </w:num>
  <w:num w:numId="30">
    <w:abstractNumId w:val="25"/>
  </w:num>
  <w:num w:numId="31">
    <w:abstractNumId w:val="36"/>
  </w:num>
  <w:num w:numId="32">
    <w:abstractNumId w:val="37"/>
  </w:num>
  <w:num w:numId="33">
    <w:abstractNumId w:val="9"/>
  </w:num>
  <w:num w:numId="34">
    <w:abstractNumId w:val="33"/>
  </w:num>
  <w:num w:numId="35">
    <w:abstractNumId w:val="7"/>
  </w:num>
  <w:num w:numId="36">
    <w:abstractNumId w:val="1"/>
  </w:num>
  <w:num w:numId="37">
    <w:abstractNumId w:val="41"/>
  </w:num>
  <w:num w:numId="38">
    <w:abstractNumId w:val="31"/>
  </w:num>
  <w:num w:numId="39">
    <w:abstractNumId w:val="16"/>
  </w:num>
  <w:num w:numId="40">
    <w:abstractNumId w:val="32"/>
  </w:num>
  <w:num w:numId="41">
    <w:abstractNumId w:val="34"/>
  </w:num>
  <w:num w:numId="42">
    <w:abstractNumId w:val="26"/>
  </w:num>
  <w:num w:numId="43">
    <w:abstractNumId w:val="22"/>
  </w:num>
  <w:num w:numId="44">
    <w:abstractNumId w:val="8"/>
  </w:num>
  <w:num w:numId="45">
    <w:abstractNumId w:val="3"/>
  </w:num>
  <w:num w:numId="46">
    <w:abstractNumId w:val="20"/>
  </w:num>
  <w:num w:numId="47">
    <w:abstractNumId w:val="19"/>
  </w:num>
  <w:num w:numId="48">
    <w:abstractNumId w:val="14"/>
  </w:num>
  <w:num w:numId="4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6FB4"/>
    <w:rsid w:val="00041970"/>
    <w:rsid w:val="00057EDB"/>
    <w:rsid w:val="00060967"/>
    <w:rsid w:val="0007031D"/>
    <w:rsid w:val="00082007"/>
    <w:rsid w:val="00086EA7"/>
    <w:rsid w:val="00090620"/>
    <w:rsid w:val="00093036"/>
    <w:rsid w:val="000A653A"/>
    <w:rsid w:val="000B1277"/>
    <w:rsid w:val="000D3490"/>
    <w:rsid w:val="000E56AA"/>
    <w:rsid w:val="000E69B1"/>
    <w:rsid w:val="000F3DAD"/>
    <w:rsid w:val="000F5F66"/>
    <w:rsid w:val="00112AC2"/>
    <w:rsid w:val="0011463D"/>
    <w:rsid w:val="00117EDF"/>
    <w:rsid w:val="00130856"/>
    <w:rsid w:val="00132382"/>
    <w:rsid w:val="00153C12"/>
    <w:rsid w:val="0015411F"/>
    <w:rsid w:val="00155457"/>
    <w:rsid w:val="00157A05"/>
    <w:rsid w:val="001624A5"/>
    <w:rsid w:val="00164D1F"/>
    <w:rsid w:val="00170FE8"/>
    <w:rsid w:val="00190ADA"/>
    <w:rsid w:val="001A22C1"/>
    <w:rsid w:val="001B37CA"/>
    <w:rsid w:val="001B6562"/>
    <w:rsid w:val="001C50AB"/>
    <w:rsid w:val="001F3D67"/>
    <w:rsid w:val="001F3DD7"/>
    <w:rsid w:val="001F7265"/>
    <w:rsid w:val="00201E8E"/>
    <w:rsid w:val="00204647"/>
    <w:rsid w:val="00211DB2"/>
    <w:rsid w:val="00216907"/>
    <w:rsid w:val="00223091"/>
    <w:rsid w:val="00225774"/>
    <w:rsid w:val="00235CB5"/>
    <w:rsid w:val="00244228"/>
    <w:rsid w:val="00244BDA"/>
    <w:rsid w:val="00247484"/>
    <w:rsid w:val="00262EDB"/>
    <w:rsid w:val="002640DD"/>
    <w:rsid w:val="0026763B"/>
    <w:rsid w:val="00280A31"/>
    <w:rsid w:val="0028659E"/>
    <w:rsid w:val="00287161"/>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22879"/>
    <w:rsid w:val="00322E63"/>
    <w:rsid w:val="00325778"/>
    <w:rsid w:val="00335BA3"/>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35881"/>
    <w:rsid w:val="005418C4"/>
    <w:rsid w:val="00547139"/>
    <w:rsid w:val="005531C4"/>
    <w:rsid w:val="00556BF9"/>
    <w:rsid w:val="005747BD"/>
    <w:rsid w:val="005836CA"/>
    <w:rsid w:val="005903B2"/>
    <w:rsid w:val="005A35DD"/>
    <w:rsid w:val="005A3C72"/>
    <w:rsid w:val="005A3E13"/>
    <w:rsid w:val="005A5F96"/>
    <w:rsid w:val="005B1280"/>
    <w:rsid w:val="005C0E06"/>
    <w:rsid w:val="005C3464"/>
    <w:rsid w:val="005C3AAA"/>
    <w:rsid w:val="005D6992"/>
    <w:rsid w:val="005D6A0E"/>
    <w:rsid w:val="00602F17"/>
    <w:rsid w:val="0062283D"/>
    <w:rsid w:val="00650C98"/>
    <w:rsid w:val="006609FF"/>
    <w:rsid w:val="00663925"/>
    <w:rsid w:val="00666B32"/>
    <w:rsid w:val="0067752A"/>
    <w:rsid w:val="0068031F"/>
    <w:rsid w:val="006850B0"/>
    <w:rsid w:val="00687868"/>
    <w:rsid w:val="006953C1"/>
    <w:rsid w:val="006977FC"/>
    <w:rsid w:val="006979C5"/>
    <w:rsid w:val="006A4E06"/>
    <w:rsid w:val="006B4BCB"/>
    <w:rsid w:val="006C1A2A"/>
    <w:rsid w:val="006C2A36"/>
    <w:rsid w:val="006E0088"/>
    <w:rsid w:val="006E3BD1"/>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36FD9"/>
    <w:rsid w:val="00853685"/>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09A7"/>
    <w:rsid w:val="0094411E"/>
    <w:rsid w:val="00945EC0"/>
    <w:rsid w:val="00951893"/>
    <w:rsid w:val="00954404"/>
    <w:rsid w:val="009546A2"/>
    <w:rsid w:val="0095651B"/>
    <w:rsid w:val="00957F7B"/>
    <w:rsid w:val="00963231"/>
    <w:rsid w:val="009830E6"/>
    <w:rsid w:val="0098331E"/>
    <w:rsid w:val="00984BAF"/>
    <w:rsid w:val="00990B59"/>
    <w:rsid w:val="00992BEB"/>
    <w:rsid w:val="009A5520"/>
    <w:rsid w:val="009C19BF"/>
    <w:rsid w:val="009C733A"/>
    <w:rsid w:val="009E01A5"/>
    <w:rsid w:val="009E1E9C"/>
    <w:rsid w:val="009E524B"/>
    <w:rsid w:val="00A03F41"/>
    <w:rsid w:val="00A32507"/>
    <w:rsid w:val="00A33F11"/>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37D2"/>
    <w:rsid w:val="00B85F65"/>
    <w:rsid w:val="00B86BF1"/>
    <w:rsid w:val="00B92BBE"/>
    <w:rsid w:val="00B969E7"/>
    <w:rsid w:val="00B96F32"/>
    <w:rsid w:val="00BA0DF2"/>
    <w:rsid w:val="00BA192E"/>
    <w:rsid w:val="00BA5620"/>
    <w:rsid w:val="00BB0A9D"/>
    <w:rsid w:val="00BC2743"/>
    <w:rsid w:val="00BC4966"/>
    <w:rsid w:val="00BD102F"/>
    <w:rsid w:val="00BD7A9C"/>
    <w:rsid w:val="00BE67FE"/>
    <w:rsid w:val="00BF7869"/>
    <w:rsid w:val="00C14000"/>
    <w:rsid w:val="00C14191"/>
    <w:rsid w:val="00C157B3"/>
    <w:rsid w:val="00C16C60"/>
    <w:rsid w:val="00C2116B"/>
    <w:rsid w:val="00C2359B"/>
    <w:rsid w:val="00C238E6"/>
    <w:rsid w:val="00C26191"/>
    <w:rsid w:val="00C41DD1"/>
    <w:rsid w:val="00C46B4B"/>
    <w:rsid w:val="00C507F9"/>
    <w:rsid w:val="00C514F8"/>
    <w:rsid w:val="00C55846"/>
    <w:rsid w:val="00C642C7"/>
    <w:rsid w:val="00C646BA"/>
    <w:rsid w:val="00C70DAA"/>
    <w:rsid w:val="00C7358B"/>
    <w:rsid w:val="00C74387"/>
    <w:rsid w:val="00C75750"/>
    <w:rsid w:val="00C75D1D"/>
    <w:rsid w:val="00C77C04"/>
    <w:rsid w:val="00C80E94"/>
    <w:rsid w:val="00C907A6"/>
    <w:rsid w:val="00CA623E"/>
    <w:rsid w:val="00CA7CEA"/>
    <w:rsid w:val="00CB0B5A"/>
    <w:rsid w:val="00CB16F7"/>
    <w:rsid w:val="00CB3A5C"/>
    <w:rsid w:val="00CB601A"/>
    <w:rsid w:val="00CB7E31"/>
    <w:rsid w:val="00CC2880"/>
    <w:rsid w:val="00CC7C8B"/>
    <w:rsid w:val="00CD6ACD"/>
    <w:rsid w:val="00CE1C20"/>
    <w:rsid w:val="00CE79F2"/>
    <w:rsid w:val="00CF77DA"/>
    <w:rsid w:val="00D02DDD"/>
    <w:rsid w:val="00D03A2C"/>
    <w:rsid w:val="00D052C8"/>
    <w:rsid w:val="00D06F69"/>
    <w:rsid w:val="00D17E6D"/>
    <w:rsid w:val="00D22E36"/>
    <w:rsid w:val="00D308C8"/>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70BD2"/>
    <w:rsid w:val="00E84E1F"/>
    <w:rsid w:val="00E86B16"/>
    <w:rsid w:val="00E86F78"/>
    <w:rsid w:val="00E87AD1"/>
    <w:rsid w:val="00EB58E2"/>
    <w:rsid w:val="00EB6687"/>
    <w:rsid w:val="00EB6B1C"/>
    <w:rsid w:val="00EB7002"/>
    <w:rsid w:val="00EC0B78"/>
    <w:rsid w:val="00EC1F95"/>
    <w:rsid w:val="00EE02EE"/>
    <w:rsid w:val="00F1263C"/>
    <w:rsid w:val="00F16AEF"/>
    <w:rsid w:val="00F17945"/>
    <w:rsid w:val="00F2448D"/>
    <w:rsid w:val="00F4100A"/>
    <w:rsid w:val="00F42711"/>
    <w:rsid w:val="00F45C23"/>
    <w:rsid w:val="00F52BB9"/>
    <w:rsid w:val="00F5553B"/>
    <w:rsid w:val="00F56F39"/>
    <w:rsid w:val="00F63954"/>
    <w:rsid w:val="00F70246"/>
    <w:rsid w:val="00F74F9C"/>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9F737-9102-4D41-93FF-AEFC630F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6523</Words>
  <Characters>38487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9</cp:revision>
  <cp:lastPrinted>2018-02-06T07:01:00Z</cp:lastPrinted>
  <dcterms:created xsi:type="dcterms:W3CDTF">2019-04-30T07:21:00Z</dcterms:created>
  <dcterms:modified xsi:type="dcterms:W3CDTF">2019-04-30T11:20:00Z</dcterms:modified>
</cp:coreProperties>
</file>