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9296" w14:textId="77777777" w:rsidR="009D3711" w:rsidRPr="002311C2" w:rsidRDefault="009D3711" w:rsidP="009D3711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  <w:bookmarkStart w:id="0" w:name="_Toc532306948"/>
      <w:r w:rsidRPr="002311C2"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  <w:t>Zoznam zákaziek (referencií) rovnakého alebo obdobného charakteru ako predmet zákazky</w:t>
      </w:r>
      <w:bookmarkEnd w:id="0"/>
    </w:p>
    <w:p w14:paraId="4C6B39C4" w14:textId="77777777" w:rsidR="009D3711" w:rsidRPr="002311C2" w:rsidRDefault="009D3711" w:rsidP="009D3711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857"/>
        <w:gridCol w:w="1475"/>
        <w:gridCol w:w="1517"/>
        <w:gridCol w:w="1467"/>
        <w:gridCol w:w="1287"/>
      </w:tblGrid>
      <w:tr w:rsidR="009D3711" w:rsidRPr="002311C2" w14:paraId="3C58FEBA" w14:textId="77777777" w:rsidTr="009A36CC">
        <w:trPr>
          <w:jc w:val="center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</w:tcPr>
          <w:p w14:paraId="4893F3A9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>Obchodné meno a adresa verejného obstarávateľa/ obstarávateľa/ objednávateľa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F783F7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Názov a stručný opis predmetu zákazky 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E9850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75F907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DF2B5B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>Meno, funkcia a kontakt na osobu zodpovednú za objednávateľa/odberateľa</w:t>
            </w:r>
          </w:p>
          <w:p w14:paraId="7D8F032B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>(slúži len na účely overenia)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</w:tcPr>
          <w:p w14:paraId="72798E67" w14:textId="77777777" w:rsidR="009D3711" w:rsidRPr="002311C2" w:rsidRDefault="009D3711" w:rsidP="009A36C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bCs/>
                <w:sz w:val="20"/>
                <w:szCs w:val="20"/>
              </w:rPr>
              <w:t>Referencia podľa § 12 zákona o verejnom obstarávaní (áno/nie*)</w:t>
            </w:r>
          </w:p>
        </w:tc>
      </w:tr>
      <w:tr w:rsidR="009D3711" w:rsidRPr="002311C2" w14:paraId="0DEC4FAE" w14:textId="77777777" w:rsidTr="009A36CC">
        <w:trPr>
          <w:jc w:val="center"/>
        </w:trPr>
        <w:tc>
          <w:tcPr>
            <w:tcW w:w="1935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3D310268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362BA5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3526F1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323C8C3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D9B92E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11A1F979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6E13D220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right w:val="single" w:sz="4" w:space="0" w:color="auto"/>
            </w:tcBorders>
          </w:tcPr>
          <w:p w14:paraId="3DB98CF2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14:paraId="1260E560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A4C55F7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D8AA026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A2EAD37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BB807E6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7F172521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right w:val="single" w:sz="4" w:space="0" w:color="auto"/>
            </w:tcBorders>
          </w:tcPr>
          <w:p w14:paraId="09711216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14:paraId="51CF7E3A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02A65AB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58B087F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11D1AC88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3D4A051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00B1BFD2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right w:val="single" w:sz="4" w:space="0" w:color="auto"/>
            </w:tcBorders>
          </w:tcPr>
          <w:p w14:paraId="35F85DCC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14:paraId="143329DD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D9B318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FB84ED8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CB5BE56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353CB79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6E646D71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right w:val="single" w:sz="4" w:space="0" w:color="auto"/>
            </w:tcBorders>
          </w:tcPr>
          <w:p w14:paraId="3E188D1E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14:paraId="4EEA89B9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6B24AA3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0E60D2E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24947FDE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FFA3F89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381B5834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right w:val="single" w:sz="4" w:space="0" w:color="auto"/>
            </w:tcBorders>
          </w:tcPr>
          <w:p w14:paraId="1DC77FDD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14:paraId="098105D9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5CA1107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3FC000D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159AC9A4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E366707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9D3711" w:rsidRPr="002311C2" w14:paraId="6A0710C1" w14:textId="77777777" w:rsidTr="009A36CC">
        <w:trPr>
          <w:jc w:val="center"/>
        </w:trPr>
        <w:tc>
          <w:tcPr>
            <w:tcW w:w="1935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C1382A8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388309C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ABDB8BE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B655CB0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AA1BBF4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9B46EB0" w14:textId="77777777" w:rsidR="009D3711" w:rsidRPr="002311C2" w:rsidRDefault="009D3711" w:rsidP="009A36CC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</w:tbl>
    <w:p w14:paraId="2C1AAC82" w14:textId="77777777" w:rsidR="009D3711" w:rsidRPr="002311C2" w:rsidRDefault="009D3711" w:rsidP="009D3711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658BC63" w14:textId="77777777" w:rsidR="009D3711" w:rsidRDefault="009D3711" w:rsidP="009D371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53FEE8A" w14:textId="77777777" w:rsidR="009D3711" w:rsidRDefault="009D3711" w:rsidP="009D371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0AF1666" w14:textId="77777777" w:rsidR="009D3711" w:rsidRPr="002311C2" w:rsidRDefault="009D3711" w:rsidP="009D3711">
      <w:pPr>
        <w:spacing w:after="0" w:line="240" w:lineRule="auto"/>
        <w:rPr>
          <w:rFonts w:ascii="Arial" w:eastAsia="Times New Roman" w:hAnsi="Arial" w:cs="Times New Roman"/>
          <w:color w:val="FF000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9D3711" w:rsidRPr="002311C2" w14:paraId="660DD7EA" w14:textId="77777777" w:rsidTr="009A36C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7FB20F8" w14:textId="77777777" w:rsidR="009D3711" w:rsidRPr="002311C2" w:rsidRDefault="009D3711" w:rsidP="009A36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82CA2BC" w14:textId="77777777" w:rsidR="009D3711" w:rsidRPr="002311C2" w:rsidRDefault="009D3711" w:rsidP="009A36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</w:t>
            </w:r>
          </w:p>
          <w:p w14:paraId="236BDB91" w14:textId="77777777" w:rsidR="009D3711" w:rsidRPr="002311C2" w:rsidRDefault="009D3711" w:rsidP="009A36CC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meno a priezvisko, funkcia</w:t>
            </w:r>
          </w:p>
          <w:p w14:paraId="7BD31846" w14:textId="77777777" w:rsidR="009D3711" w:rsidRPr="002311C2" w:rsidRDefault="009D3711" w:rsidP="009A36CC">
            <w:pPr>
              <w:widowControl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podpis</w:t>
            </w:r>
            <w:r w:rsidRPr="002311C2">
              <w:rPr>
                <w:rFonts w:ascii="Arial" w:eastAsia="Times New Roman" w:hAnsi="Arial" w:cs="Arial"/>
                <w:szCs w:val="20"/>
                <w:vertAlign w:val="superscript"/>
              </w:rPr>
              <w:footnoteReference w:customMarkFollows="1" w:id="1"/>
              <w:t>1</w:t>
            </w:r>
          </w:p>
          <w:p w14:paraId="6C572405" w14:textId="77777777" w:rsidR="009D3711" w:rsidRPr="002311C2" w:rsidRDefault="009D3711" w:rsidP="009A36CC">
            <w:pPr>
              <w:spacing w:before="60" w:after="60" w:line="240" w:lineRule="auto"/>
              <w:ind w:left="36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5A08EB" w14:textId="77777777" w:rsidR="00FE61D8" w:rsidRDefault="00000000"/>
    <w:sectPr w:rsidR="00FE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A841" w14:textId="77777777" w:rsidR="00F016AA" w:rsidRDefault="00F016AA" w:rsidP="009D3711">
      <w:pPr>
        <w:spacing w:after="0" w:line="240" w:lineRule="auto"/>
      </w:pPr>
      <w:r>
        <w:separator/>
      </w:r>
    </w:p>
  </w:endnote>
  <w:endnote w:type="continuationSeparator" w:id="0">
    <w:p w14:paraId="3A9F4FE7" w14:textId="77777777" w:rsidR="00F016AA" w:rsidRDefault="00F016AA" w:rsidP="009D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F5CB" w14:textId="77777777" w:rsidR="00F016AA" w:rsidRDefault="00F016AA" w:rsidP="009D3711">
      <w:pPr>
        <w:spacing w:after="0" w:line="240" w:lineRule="auto"/>
      </w:pPr>
      <w:r>
        <w:separator/>
      </w:r>
    </w:p>
  </w:footnote>
  <w:footnote w:type="continuationSeparator" w:id="0">
    <w:p w14:paraId="1809CFD6" w14:textId="77777777" w:rsidR="00F016AA" w:rsidRDefault="00F016AA" w:rsidP="009D3711">
      <w:pPr>
        <w:spacing w:after="0" w:line="240" w:lineRule="auto"/>
      </w:pPr>
      <w:r>
        <w:continuationSeparator/>
      </w:r>
    </w:p>
  </w:footnote>
  <w:footnote w:id="1">
    <w:p w14:paraId="3C210ED7" w14:textId="77777777" w:rsidR="009D3711" w:rsidRPr="005330AB" w:rsidRDefault="009D3711" w:rsidP="009D3711">
      <w:pPr>
        <w:jc w:val="both"/>
        <w:rPr>
          <w:rFonts w:cs="Arial"/>
          <w:sz w:val="16"/>
          <w:szCs w:val="16"/>
        </w:rPr>
      </w:pPr>
      <w:r w:rsidRPr="00103E8A">
        <w:rPr>
          <w:rStyle w:val="Odkaznapoznmkupodiarou"/>
          <w:lang w:val="fr-FR"/>
        </w:rPr>
        <w:t>1</w:t>
      </w:r>
      <w:r w:rsidRPr="00103E8A">
        <w:rPr>
          <w:lang w:val="fr-FR"/>
        </w:rPr>
        <w:t xml:space="preserve"> </w:t>
      </w:r>
      <w:r w:rsidRPr="005330AB"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B4317FC" w14:textId="77777777" w:rsidR="009D3711" w:rsidRDefault="009D3711" w:rsidP="009D3711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11"/>
    <w:rsid w:val="009D3711"/>
    <w:rsid w:val="00A628E3"/>
    <w:rsid w:val="00AF7B96"/>
    <w:rsid w:val="00F0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E14B9"/>
  <w15:chartTrackingRefBased/>
  <w15:docId w15:val="{410E49BB-16DE-5846-9ADF-C43EE828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3711"/>
    <w:pPr>
      <w:spacing w:after="160"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rsid w:val="009D3711"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9D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9D3711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process management</cp:lastModifiedBy>
  <cp:revision>1</cp:revision>
  <dcterms:created xsi:type="dcterms:W3CDTF">2022-08-25T12:44:00Z</dcterms:created>
  <dcterms:modified xsi:type="dcterms:W3CDTF">2022-08-25T12:45:00Z</dcterms:modified>
</cp:coreProperties>
</file>