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9D47" w14:textId="77777777" w:rsidR="00C6480E" w:rsidRDefault="00C6480E" w:rsidP="00590007"/>
    <w:p w14:paraId="083D9D48" w14:textId="77777777" w:rsidR="00C6480E" w:rsidRDefault="00C6480E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83D9D49" w14:textId="77777777" w:rsidR="00C6480E" w:rsidRPr="00881827" w:rsidRDefault="00C6480E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083D9D4A" w14:textId="77777777" w:rsidR="00C6480E" w:rsidRDefault="00C6480E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083D9D4B" w14:textId="77777777" w:rsidR="00C6480E" w:rsidRPr="00590007" w:rsidRDefault="00C6480E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C6480E" w:rsidRPr="00590007" w14:paraId="083D9D4E" w14:textId="77777777" w:rsidTr="00D874EF">
        <w:trPr>
          <w:trHeight w:val="304"/>
        </w:trPr>
        <w:tc>
          <w:tcPr>
            <w:tcW w:w="2689" w:type="dxa"/>
          </w:tcPr>
          <w:p w14:paraId="083D9D4C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6237" w:type="dxa"/>
          </w:tcPr>
          <w:p w14:paraId="083D9D4D" w14:textId="360A71A4" w:rsidR="00C6480E" w:rsidRPr="00590007" w:rsidRDefault="00DB050C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Pozemkové spoločenstvo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Hutírová</w:t>
            </w:r>
            <w:proofErr w:type="spellEnd"/>
          </w:p>
        </w:tc>
      </w:tr>
      <w:tr w:rsidR="00C6480E" w:rsidRPr="00590007" w14:paraId="083D9D51" w14:textId="77777777" w:rsidTr="00D874EF">
        <w:trPr>
          <w:trHeight w:val="292"/>
        </w:trPr>
        <w:tc>
          <w:tcPr>
            <w:tcW w:w="2689" w:type="dxa"/>
          </w:tcPr>
          <w:p w14:paraId="083D9D4F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6237" w:type="dxa"/>
          </w:tcPr>
          <w:p w14:paraId="083D9D50" w14:textId="1B3D2D33" w:rsidR="00C6480E" w:rsidRPr="00590007" w:rsidRDefault="00DB050C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Bziny 2106/28, 026 01 Dolný Kubín</w:t>
            </w:r>
          </w:p>
        </w:tc>
      </w:tr>
      <w:tr w:rsidR="00C6480E" w:rsidRPr="00590007" w14:paraId="083D9D54" w14:textId="77777777" w:rsidTr="00D874EF">
        <w:trPr>
          <w:trHeight w:val="304"/>
        </w:trPr>
        <w:tc>
          <w:tcPr>
            <w:tcW w:w="2689" w:type="dxa"/>
          </w:tcPr>
          <w:p w14:paraId="083D9D52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6237" w:type="dxa"/>
          </w:tcPr>
          <w:p w14:paraId="083D9D53" w14:textId="4A6FB150" w:rsidR="00C6480E" w:rsidRPr="00590007" w:rsidRDefault="00542CC0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Ján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Pšenák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predseda</w:t>
            </w:r>
          </w:p>
        </w:tc>
      </w:tr>
      <w:tr w:rsidR="00C6480E" w:rsidRPr="00590007" w14:paraId="083D9D57" w14:textId="77777777" w:rsidTr="00D874EF">
        <w:trPr>
          <w:trHeight w:val="292"/>
        </w:trPr>
        <w:tc>
          <w:tcPr>
            <w:tcW w:w="2689" w:type="dxa"/>
          </w:tcPr>
          <w:p w14:paraId="083D9D55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6237" w:type="dxa"/>
          </w:tcPr>
          <w:p w14:paraId="083D9D56" w14:textId="0DA1DCF5" w:rsidR="00C6480E" w:rsidRPr="00590007" w:rsidRDefault="003F1627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37 800 442</w:t>
            </w:r>
          </w:p>
        </w:tc>
      </w:tr>
      <w:tr w:rsidR="00C6480E" w:rsidRPr="00590007" w14:paraId="083D9D5A" w14:textId="77777777" w:rsidTr="00D874EF">
        <w:trPr>
          <w:trHeight w:val="304"/>
        </w:trPr>
        <w:tc>
          <w:tcPr>
            <w:tcW w:w="2689" w:type="dxa"/>
          </w:tcPr>
          <w:p w14:paraId="083D9D58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6237" w:type="dxa"/>
          </w:tcPr>
          <w:p w14:paraId="083D9D59" w14:textId="4A45D267" w:rsidR="00C6480E" w:rsidRPr="00590007" w:rsidRDefault="009C182B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C182B">
              <w:rPr>
                <w:rFonts w:ascii="Calibri" w:eastAsia="Times New Roman" w:hAnsi="Calibri" w:cs="Times New Roman"/>
                <w:color w:val="000000"/>
                <w:lang w:eastAsia="sk-SK"/>
              </w:rPr>
              <w:t>2021711604</w:t>
            </w:r>
          </w:p>
        </w:tc>
      </w:tr>
      <w:tr w:rsidR="00C6480E" w:rsidRPr="00590007" w14:paraId="083D9D5D" w14:textId="77777777" w:rsidTr="00D874EF">
        <w:trPr>
          <w:trHeight w:val="292"/>
        </w:trPr>
        <w:tc>
          <w:tcPr>
            <w:tcW w:w="2689" w:type="dxa"/>
          </w:tcPr>
          <w:p w14:paraId="083D9D5B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6237" w:type="dxa"/>
          </w:tcPr>
          <w:p w14:paraId="083D9D5C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024DA"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t>Ing. Milan Ovseník</w:t>
            </w:r>
          </w:p>
        </w:tc>
      </w:tr>
      <w:tr w:rsidR="00C6480E" w:rsidRPr="00590007" w14:paraId="083D9D62" w14:textId="77777777" w:rsidTr="00D874EF">
        <w:trPr>
          <w:trHeight w:val="304"/>
        </w:trPr>
        <w:tc>
          <w:tcPr>
            <w:tcW w:w="2689" w:type="dxa"/>
          </w:tcPr>
          <w:p w14:paraId="083D9D5E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6237" w:type="dxa"/>
          </w:tcPr>
          <w:p w14:paraId="083D9D60" w14:textId="775800F9" w:rsidR="00C6480E" w:rsidRPr="00DC033F" w:rsidRDefault="00545BE5" w:rsidP="009F2303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Prístup k lesnej pôde – Lesná cesta Zázrivá </w:t>
            </w:r>
            <w:r w:rsidR="00566ED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Hu</w:t>
            </w:r>
            <w:r w:rsidR="00566ED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tírová</w:t>
            </w:r>
            <w:proofErr w:type="spellEnd"/>
            <w:r w:rsidR="00566ED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, vetva 4</w:t>
            </w:r>
          </w:p>
          <w:p w14:paraId="083D9D61" w14:textId="5DBCEC80" w:rsidR="00C6480E" w:rsidRPr="00590007" w:rsidRDefault="008E4FFA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043ZA630023</w:t>
            </w:r>
          </w:p>
        </w:tc>
      </w:tr>
      <w:tr w:rsidR="00C6480E" w:rsidRPr="00590007" w14:paraId="083D9D65" w14:textId="77777777" w:rsidTr="00D874EF">
        <w:trPr>
          <w:trHeight w:val="504"/>
        </w:trPr>
        <w:tc>
          <w:tcPr>
            <w:tcW w:w="2689" w:type="dxa"/>
          </w:tcPr>
          <w:p w14:paraId="083D9D63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6237" w:type="dxa"/>
          </w:tcPr>
          <w:p w14:paraId="083D9D64" w14:textId="059D45CC" w:rsidR="008415DA" w:rsidRPr="00590007" w:rsidRDefault="000F1B89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so záujemcami / uchádzačmi je realizovaná prostredníctvom systému JOSEPHINE</w:t>
            </w:r>
          </w:p>
        </w:tc>
      </w:tr>
      <w:tr w:rsidR="00C6480E" w:rsidRPr="00590007" w14:paraId="083D9D68" w14:textId="77777777" w:rsidTr="00D874EF">
        <w:trPr>
          <w:trHeight w:val="1044"/>
        </w:trPr>
        <w:tc>
          <w:tcPr>
            <w:tcW w:w="2689" w:type="dxa"/>
            <w:shd w:val="clear" w:color="auto" w:fill="auto"/>
          </w:tcPr>
          <w:p w14:paraId="083D9D66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6237" w:type="dxa"/>
            <w:shd w:val="clear" w:color="auto" w:fill="auto"/>
          </w:tcPr>
          <w:p w14:paraId="083D9D67" w14:textId="77777777" w:rsidR="00C6480E" w:rsidRPr="00590007" w:rsidRDefault="00C6480E" w:rsidP="009F2303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010ADE" w:rsidRPr="00590007" w14:paraId="610F8D83" w14:textId="77777777" w:rsidTr="00C36C6E">
        <w:trPr>
          <w:trHeight w:val="3022"/>
        </w:trPr>
        <w:tc>
          <w:tcPr>
            <w:tcW w:w="2689" w:type="dxa"/>
            <w:shd w:val="clear" w:color="auto" w:fill="auto"/>
          </w:tcPr>
          <w:p w14:paraId="4331D99F" w14:textId="5BEF50C8" w:rsidR="00010ADE" w:rsidRPr="00590007" w:rsidRDefault="00010ADE" w:rsidP="009F2303">
            <w:pPr>
              <w:spacing w:before="60" w:after="60"/>
              <w:rPr>
                <w:rFonts w:cs="Times New Roman"/>
                <w:b/>
              </w:rPr>
            </w:pPr>
            <w:bookmarkStart w:id="0" w:name="_Hlk184022225"/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6237" w:type="dxa"/>
            <w:shd w:val="clear" w:color="auto" w:fill="auto"/>
          </w:tcPr>
          <w:p w14:paraId="67258DB3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 xml:space="preserve">Predmetom projektu je vybudovanie lesnej cesty 2. triedy (2L) - 4,0/30 zaradenej do sekundárnej siete lesných ciest v zmysle STN 73 6108 </w:t>
            </w:r>
          </w:p>
          <w:p w14:paraId="4646B537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 xml:space="preserve">Stavebné úpravy budú realizované podľa projektovej dokumentácie stavby „Lesná cesta Zázrivá – </w:t>
            </w:r>
            <w:proofErr w:type="spellStart"/>
            <w:r w:rsidRPr="00C36C6E">
              <w:rPr>
                <w:rFonts w:cstheme="minorHAnsi"/>
              </w:rPr>
              <w:t>Hutirová</w:t>
            </w:r>
            <w:proofErr w:type="spellEnd"/>
            <w:r w:rsidRPr="00C36C6E">
              <w:rPr>
                <w:rFonts w:cstheme="minorHAnsi"/>
              </w:rPr>
              <w:t>, vetva 4“</w:t>
            </w:r>
          </w:p>
          <w:p w14:paraId="7F1A0552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Technické parametre :</w:t>
            </w:r>
          </w:p>
          <w:p w14:paraId="244B129A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 xml:space="preserve">VETVA 4 má dĺžku 1310,70 m. </w:t>
            </w:r>
          </w:p>
          <w:p w14:paraId="6F156281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Šírka komunikácie v priamych úsekoch je 4,0 m, z toho jazdný pás je široký 3,0 m a nespevnené krajnice sú široké 0,5 m. Šírka cesty v oblúkoch sa mení podľa rozšírenia.</w:t>
            </w:r>
          </w:p>
          <w:p w14:paraId="2270D06C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 xml:space="preserve">Aby nedochádzalo k zosunom cestného telesa po zemnej pláni v období silných dažďov, je navrhnuté odvodnenie zemnej pláne v mieste zárezu rigolom. Spodná voda zo zemnej pláne bude odvádzaná drenážnou rúrou z PVC Ø160 mm. Rúra je uložená v štrkopieskovom rigole a obalená je </w:t>
            </w:r>
            <w:proofErr w:type="spellStart"/>
            <w:r w:rsidRPr="00C36C6E">
              <w:rPr>
                <w:rFonts w:cstheme="minorHAnsi"/>
              </w:rPr>
              <w:t>geotextíliou</w:t>
            </w:r>
            <w:proofErr w:type="spellEnd"/>
            <w:r w:rsidRPr="00C36C6E">
              <w:rPr>
                <w:rFonts w:cstheme="minorHAnsi"/>
              </w:rPr>
              <w:t xml:space="preserve">, aby nedošlo k jej upchaniu jemnými časticami z pôdy. Vyústenie drenážnych rúr je </w:t>
            </w:r>
            <w:r w:rsidRPr="00C36C6E">
              <w:rPr>
                <w:rFonts w:cstheme="minorHAnsi"/>
              </w:rPr>
              <w:lastRenderedPageBreak/>
              <w:t xml:space="preserve">navrhnuté do kalových jám priepustu a odtiaľ do terénu na strane násypu a následne do </w:t>
            </w:r>
            <w:proofErr w:type="spellStart"/>
            <w:r w:rsidRPr="00C36C6E">
              <w:rPr>
                <w:rFonts w:cstheme="minorHAnsi"/>
              </w:rPr>
              <w:t>miesnych</w:t>
            </w:r>
            <w:proofErr w:type="spellEnd"/>
            <w:r w:rsidRPr="00C36C6E">
              <w:rPr>
                <w:rFonts w:cstheme="minorHAnsi"/>
              </w:rPr>
              <w:t xml:space="preserve"> potokov. Vyústenie rúr priepustov je do spevnených žľabov tak, aby nedochádzalo k podmývaniu terénu v mieste výtoku na terén.</w:t>
            </w:r>
          </w:p>
          <w:p w14:paraId="5CF885E4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KONŠTRUKČNÝ SYSTÉM -CESTA navrhovaná- vetva – V4:</w:t>
            </w:r>
          </w:p>
          <w:p w14:paraId="453560AE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-</w:t>
            </w:r>
            <w:r w:rsidRPr="00C36C6E">
              <w:rPr>
                <w:rFonts w:cstheme="minorHAnsi"/>
              </w:rPr>
              <w:tab/>
              <w:t>Penetračný makadam hrúbky 100 mm</w:t>
            </w:r>
          </w:p>
          <w:p w14:paraId="2BCADFC9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-</w:t>
            </w:r>
            <w:r w:rsidRPr="00C36C6E">
              <w:rPr>
                <w:rFonts w:cstheme="minorHAnsi"/>
              </w:rPr>
              <w:tab/>
            </w:r>
            <w:proofErr w:type="spellStart"/>
            <w:r w:rsidRPr="00C36C6E">
              <w:rPr>
                <w:rFonts w:cstheme="minorHAnsi"/>
              </w:rPr>
              <w:t>Štrkodrva</w:t>
            </w:r>
            <w:proofErr w:type="spellEnd"/>
            <w:r w:rsidRPr="00C36C6E">
              <w:rPr>
                <w:rFonts w:cstheme="minorHAnsi"/>
              </w:rPr>
              <w:t xml:space="preserve"> frakcie 32-63 mm hrúbky 200 mm, </w:t>
            </w:r>
          </w:p>
          <w:p w14:paraId="20F7DD11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-</w:t>
            </w:r>
            <w:r w:rsidRPr="00C36C6E">
              <w:rPr>
                <w:rFonts w:cstheme="minorHAnsi"/>
              </w:rPr>
              <w:tab/>
            </w:r>
            <w:proofErr w:type="spellStart"/>
            <w:r w:rsidRPr="00C36C6E">
              <w:rPr>
                <w:rFonts w:cstheme="minorHAnsi"/>
              </w:rPr>
              <w:t>Štrkodrva</w:t>
            </w:r>
            <w:proofErr w:type="spellEnd"/>
            <w:r w:rsidRPr="00C36C6E">
              <w:rPr>
                <w:rFonts w:cstheme="minorHAnsi"/>
              </w:rPr>
              <w:t xml:space="preserve"> frakcie 63-125 mm hrúbky 250 mm</w:t>
            </w:r>
          </w:p>
          <w:p w14:paraId="5FE88DBF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-</w:t>
            </w:r>
            <w:r w:rsidRPr="00C36C6E">
              <w:rPr>
                <w:rFonts w:cstheme="minorHAnsi"/>
              </w:rPr>
              <w:tab/>
              <w:t xml:space="preserve">V potrebných miestach násypy hutnené po 500 mm vrstvách,  </w:t>
            </w:r>
            <w:proofErr w:type="spellStart"/>
            <w:r w:rsidRPr="00C36C6E">
              <w:rPr>
                <w:rFonts w:cstheme="minorHAnsi"/>
              </w:rPr>
              <w:t>štrkodrva</w:t>
            </w:r>
            <w:proofErr w:type="spellEnd"/>
            <w:r w:rsidRPr="00C36C6E">
              <w:rPr>
                <w:rFonts w:cstheme="minorHAnsi"/>
              </w:rPr>
              <w:t xml:space="preserve"> 63-125 mm </w:t>
            </w:r>
          </w:p>
          <w:p w14:paraId="7792B78B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-</w:t>
            </w:r>
            <w:r w:rsidRPr="00C36C6E">
              <w:rPr>
                <w:rFonts w:cstheme="minorHAnsi"/>
              </w:rPr>
              <w:tab/>
              <w:t xml:space="preserve">Upravená a vyspádovaná zemná pláň  </w:t>
            </w:r>
          </w:p>
          <w:p w14:paraId="5298438F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 xml:space="preserve">Navrhovaná komunikácia sa vybuduje na nespevnenom </w:t>
            </w:r>
            <w:proofErr w:type="spellStart"/>
            <w:r w:rsidRPr="00C36C6E">
              <w:rPr>
                <w:rFonts w:cstheme="minorHAnsi"/>
              </w:rPr>
              <w:t>rastlom</w:t>
            </w:r>
            <w:proofErr w:type="spellEnd"/>
            <w:r w:rsidRPr="00C36C6E">
              <w:rPr>
                <w:rFonts w:cstheme="minorHAnsi"/>
              </w:rPr>
              <w:t xml:space="preserve"> teréne. Je navrhnutá cesta kategórie 2L-4/30, kde šírka navrhovanej lesnej komunikácie je 4,0 m, z toho jazdný pás je široký 3,0 m. Jazdný pás vozovky je tvorený z penetračného makadamu. Po obidvoch stranách jazdného pásu je navrhnutá nespevnená krajnica šírky 0,5 m. Šírka komunikácie v smerových oblúkoch sa mení podľa rozšírenia v oblúku, ktoré vyplýva z  príslušnej technickej normy.</w:t>
            </w:r>
          </w:p>
          <w:p w14:paraId="3664ACBA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 xml:space="preserve">Pred samotnou </w:t>
            </w:r>
            <w:proofErr w:type="spellStart"/>
            <w:r w:rsidRPr="00C36C6E">
              <w:rPr>
                <w:rFonts w:cstheme="minorHAnsi"/>
              </w:rPr>
              <w:t>pokládkou</w:t>
            </w:r>
            <w:proofErr w:type="spellEnd"/>
            <w:r w:rsidRPr="00C36C6E">
              <w:rPr>
                <w:rFonts w:cstheme="minorHAnsi"/>
              </w:rPr>
              <w:t xml:space="preserve"> jednotlivých vrstiev navrhovanej cesty je potrebné vykonať hrubé terénne úpravy </w:t>
            </w:r>
            <w:proofErr w:type="spellStart"/>
            <w:r w:rsidRPr="00C36C6E">
              <w:rPr>
                <w:rFonts w:cstheme="minorHAnsi"/>
              </w:rPr>
              <w:t>t.j</w:t>
            </w:r>
            <w:proofErr w:type="spellEnd"/>
            <w:r w:rsidRPr="00C36C6E">
              <w:rPr>
                <w:rFonts w:cstheme="minorHAnsi"/>
              </w:rPr>
              <w:t xml:space="preserve">. </w:t>
            </w:r>
            <w:proofErr w:type="spellStart"/>
            <w:r w:rsidRPr="00C36C6E">
              <w:rPr>
                <w:rFonts w:cstheme="minorHAnsi"/>
              </w:rPr>
              <w:t>odhumusenie</w:t>
            </w:r>
            <w:proofErr w:type="spellEnd"/>
            <w:r w:rsidRPr="00C36C6E">
              <w:rPr>
                <w:rFonts w:cstheme="minorHAnsi"/>
              </w:rPr>
              <w:t xml:space="preserve"> v hr. 100 mm, vykopať a odstrániť potrebné množstvo zeminy v záujmovom území. Zemina z výkopov sa môže použiť pre jednotlivé násypy.</w:t>
            </w:r>
          </w:p>
          <w:p w14:paraId="4F432500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 xml:space="preserve">Pri výstavbe komunikácie dôjde k násypom a výkopom. Svahy sa </w:t>
            </w:r>
            <w:proofErr w:type="spellStart"/>
            <w:r w:rsidRPr="00C36C6E">
              <w:rPr>
                <w:rFonts w:cstheme="minorHAnsi"/>
              </w:rPr>
              <w:t>vysvahujú</w:t>
            </w:r>
            <w:proofErr w:type="spellEnd"/>
            <w:r w:rsidRPr="00C36C6E">
              <w:rPr>
                <w:rFonts w:cstheme="minorHAnsi"/>
              </w:rPr>
              <w:t xml:space="preserve"> v sklone 1:1; 1:1,25 a 1:1,50. Svahy násypov a výkopov je po ukončení stavby potrebné </w:t>
            </w:r>
            <w:proofErr w:type="spellStart"/>
            <w:r w:rsidRPr="00C36C6E">
              <w:rPr>
                <w:rFonts w:cstheme="minorHAnsi"/>
              </w:rPr>
              <w:t>zahumusovať</w:t>
            </w:r>
            <w:proofErr w:type="spellEnd"/>
            <w:r w:rsidRPr="00C36C6E">
              <w:rPr>
                <w:rFonts w:cstheme="minorHAnsi"/>
              </w:rPr>
              <w:t xml:space="preserve"> v hr. 100 mm. Prebytočná zemina sa odvezie na skládku max. do 15 km.</w:t>
            </w:r>
          </w:p>
          <w:p w14:paraId="40226B43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Smerové vedenie: smerové vedenie je riešené 7. pravotočivými a 6. ľavotočivými oblúkmi. Oblúky sa striedajú s priamymi úsekmi. V smerových oblúkoch je navrhnuté rozšírenie cesty, ktoré je navrhnuté podľa príslušnej technickej normy.</w:t>
            </w:r>
          </w:p>
          <w:p w14:paraId="6EB7EA9C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proofErr w:type="spellStart"/>
            <w:r w:rsidRPr="00C36C6E">
              <w:rPr>
                <w:rFonts w:cstheme="minorHAnsi"/>
              </w:rPr>
              <w:t>Sklonové</w:t>
            </w:r>
            <w:proofErr w:type="spellEnd"/>
            <w:r w:rsidRPr="00C36C6E">
              <w:rPr>
                <w:rFonts w:cstheme="minorHAnsi"/>
              </w:rPr>
              <w:t xml:space="preserve"> pomery: Pozdĺžne sklony v niektorých úsekoch nespĺňajú normové predpisy, vzhľadom na skutkový stav a príliš veľké výškové rozdiely viď výkresová dokumentácia. Pozdĺžny sklon na vetve V4 sa pohybuje od min. 4,8% až po max. 17,0%.</w:t>
            </w:r>
          </w:p>
          <w:p w14:paraId="25952DC0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Šírkové usporiadanie: Šírka navrhovanej lesnej komunikácie je kategórie 2L-4/30, kde šírka komunikácie je  4,0 m, z toho 3,0 m je vozovka tvorená z penetračného makadamu – skladba 1 a skladba 2. Po obidvoch stranách komunikácie je navrhnutá nespevnená krajnica šírky 0,5 m. Usporiadanie je zrejmé podľa vzorových rezov viď výkresová dokumentácia.</w:t>
            </w:r>
          </w:p>
          <w:p w14:paraId="5BAEC7A0" w14:textId="77777777" w:rsidR="00C36C6E" w:rsidRPr="00C36C6E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>Priečny sklon: Priečny sklon komunikácie je v priamych úsekoch strechovitý 2% . V oblúkoch sa sklon mení na jednostranný 2,0% viď výkresová dokumentácia.</w:t>
            </w:r>
          </w:p>
          <w:p w14:paraId="6A768D17" w14:textId="6DF290ED" w:rsidR="00010ADE" w:rsidRPr="00BB5604" w:rsidRDefault="00C36C6E" w:rsidP="00C36C6E">
            <w:pPr>
              <w:jc w:val="both"/>
              <w:rPr>
                <w:rFonts w:cstheme="minorHAnsi"/>
              </w:rPr>
            </w:pPr>
            <w:r w:rsidRPr="00C36C6E">
              <w:rPr>
                <w:rFonts w:cstheme="minorHAnsi"/>
              </w:rPr>
              <w:t xml:space="preserve">Odvodnenie komunikácie: Odvodnenie komunikácie je riešené povrchovo </w:t>
            </w:r>
            <w:proofErr w:type="spellStart"/>
            <w:r w:rsidRPr="00C36C6E">
              <w:rPr>
                <w:rFonts w:cstheme="minorHAnsi"/>
              </w:rPr>
              <w:t>tj</w:t>
            </w:r>
            <w:proofErr w:type="spellEnd"/>
            <w:r w:rsidRPr="00C36C6E">
              <w:rPr>
                <w:rFonts w:cstheme="minorHAnsi"/>
              </w:rPr>
              <w:t xml:space="preserve">. dažďová voda sa pomocou pozdĺžneho a priečneho sklonu vozovky dostáva do nespevneného </w:t>
            </w:r>
            <w:proofErr w:type="spellStart"/>
            <w:r w:rsidRPr="00C36C6E">
              <w:rPr>
                <w:rFonts w:cstheme="minorHAnsi"/>
              </w:rPr>
              <w:t>vsakovacieho</w:t>
            </w:r>
            <w:proofErr w:type="spellEnd"/>
            <w:r w:rsidRPr="00C36C6E">
              <w:rPr>
                <w:rFonts w:cstheme="minorHAnsi"/>
              </w:rPr>
              <w:t xml:space="preserve"> rigola, kde následne vsakuje. Pri väčších zrážkach je voda odvádzaná pomocou nespevnených rigolov do kalovej jamy následne cez priepust. Rigol pred kalovou jamou je spevnený betónovým </w:t>
            </w:r>
            <w:proofErr w:type="spellStart"/>
            <w:r w:rsidRPr="00C36C6E">
              <w:rPr>
                <w:rFonts w:cstheme="minorHAnsi"/>
              </w:rPr>
              <w:t>žlabom</w:t>
            </w:r>
            <w:proofErr w:type="spellEnd"/>
            <w:r w:rsidRPr="00C36C6E">
              <w:rPr>
                <w:rFonts w:cstheme="minorHAnsi"/>
              </w:rPr>
              <w:t xml:space="preserve"> TBM62-15 v dĺžke 2,0m alebo lomovým kameňom. Výtok z priepustu je spevnený lomovým kameňom. V miestach, kde je navrhovaná cesta vedená v </w:t>
            </w:r>
            <w:r w:rsidRPr="00C36C6E">
              <w:rPr>
                <w:rFonts w:cstheme="minorHAnsi"/>
              </w:rPr>
              <w:lastRenderedPageBreak/>
              <w:t xml:space="preserve">záreze, navrhujeme zemnú pláň odvodniť pomocou trativodu </w:t>
            </w:r>
            <w:proofErr w:type="spellStart"/>
            <w:r w:rsidRPr="00C36C6E">
              <w:rPr>
                <w:rFonts w:cstheme="minorHAnsi"/>
              </w:rPr>
              <w:t>t.j</w:t>
            </w:r>
            <w:proofErr w:type="spellEnd"/>
            <w:r w:rsidRPr="00C36C6E">
              <w:rPr>
                <w:rFonts w:cstheme="minorHAnsi"/>
              </w:rPr>
              <w:t xml:space="preserve">. pomocou  PVC rúrky Ø150 mm. PVC rúrka obalená </w:t>
            </w:r>
            <w:proofErr w:type="spellStart"/>
            <w:r w:rsidRPr="00C36C6E">
              <w:rPr>
                <w:rFonts w:cstheme="minorHAnsi"/>
              </w:rPr>
              <w:t>geotextíliou</w:t>
            </w:r>
            <w:proofErr w:type="spellEnd"/>
            <w:r w:rsidRPr="00C36C6E">
              <w:rPr>
                <w:rFonts w:cstheme="minorHAnsi"/>
              </w:rPr>
              <w:t xml:space="preserve"> uložená v štrkopieskovom lôžku, sa vyvedie do navrhovaných priepustov. Na navrhovanej vetve 4 je umiestnených 13 priepustov pre prevedenie dažďovej vody mimo vozovku a zemnú pláň. V navrhovanej trase dochádza ku kríženiu s 9 potokmi. Potoky sú cez komunikáciu prevedené pomocou navrhovaných priepustov s rúrou DN 1000.</w:t>
            </w:r>
          </w:p>
        </w:tc>
      </w:tr>
      <w:bookmarkEnd w:id="0"/>
    </w:tbl>
    <w:p w14:paraId="083D9D74" w14:textId="77777777" w:rsidR="00C6480E" w:rsidRDefault="00C6480E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83D9D75" w14:textId="77777777" w:rsidR="00C6480E" w:rsidRPr="00590007" w:rsidRDefault="00C6480E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C6480E" w:rsidRPr="00590007" w14:paraId="083D9D78" w14:textId="77777777" w:rsidTr="009F2303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76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bookmarkStart w:id="1" w:name="_Hlk183593314"/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083D9D77" w14:textId="0D035CA5" w:rsidR="00C6480E" w:rsidRPr="00590007" w:rsidRDefault="00A10B7B" w:rsidP="009F2303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10B7B">
              <w:rPr>
                <w:rFonts w:cs="Times New Roman"/>
                <w:b/>
              </w:rPr>
              <w:t xml:space="preserve">Lesná cesta Zázrivá – </w:t>
            </w:r>
            <w:proofErr w:type="spellStart"/>
            <w:r w:rsidRPr="00A10B7B">
              <w:rPr>
                <w:rFonts w:cs="Times New Roman"/>
                <w:b/>
              </w:rPr>
              <w:t>Hutirová</w:t>
            </w:r>
            <w:proofErr w:type="spellEnd"/>
            <w:r w:rsidRPr="00A10B7B">
              <w:rPr>
                <w:rFonts w:cs="Times New Roman"/>
                <w:b/>
              </w:rPr>
              <w:t>, vetva 4</w:t>
            </w:r>
          </w:p>
        </w:tc>
      </w:tr>
      <w:bookmarkEnd w:id="1"/>
      <w:tr w:rsidR="00C6480E" w:rsidRPr="00590007" w14:paraId="083D9D7B" w14:textId="77777777" w:rsidTr="009F2303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79" w14:textId="77777777" w:rsidR="00C6480E" w:rsidRPr="000D326A" w:rsidRDefault="00C6480E" w:rsidP="009F2303">
            <w:pPr>
              <w:spacing w:before="60" w:after="60"/>
              <w:rPr>
                <w:rFonts w:cs="Times New Roman"/>
                <w:b/>
                <w:strike/>
              </w:rPr>
            </w:pPr>
            <w:r w:rsidRPr="000D326A">
              <w:rPr>
                <w:rFonts w:cs="Times New Roman"/>
                <w:b/>
                <w:strike/>
              </w:rPr>
              <w:t>Rozdelenie/spojenie</w:t>
            </w:r>
            <w:r w:rsidRPr="000D326A">
              <w:rPr>
                <w:rStyle w:val="Odkaznapoznmkupodiarou"/>
                <w:rFonts w:cs="Times New Roman"/>
                <w:b/>
                <w:strike/>
              </w:rPr>
              <w:footnoteReference w:id="2"/>
            </w:r>
            <w:r w:rsidRPr="000D326A">
              <w:rPr>
                <w:rFonts w:cs="Times New Roman"/>
                <w:b/>
                <w:strike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083D9D7A" w14:textId="77777777" w:rsidR="00C6480E" w:rsidRPr="00913B93" w:rsidRDefault="004726B5" w:rsidP="009F2303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913B93">
              <w:rPr>
                <w:rFonts w:cs="Times New Roman"/>
                <w:bCs/>
              </w:rPr>
              <w:t>Irelevantné (Vzhľadom na predmet zákazky obstarávateľ zákazku nerozdeľuje ani nespája.)</w:t>
            </w:r>
          </w:p>
        </w:tc>
      </w:tr>
      <w:tr w:rsidR="00C6480E" w:rsidRPr="00590007" w14:paraId="083D9D81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7C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7D" w14:textId="77777777" w:rsidR="00C6480E" w:rsidRPr="00590007" w:rsidRDefault="00C6480E" w:rsidP="009F230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7E" w14:textId="77777777" w:rsidR="00C6480E" w:rsidRPr="00590007" w:rsidRDefault="00C6480E" w:rsidP="009F230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7F" w14:textId="77777777" w:rsidR="00C6480E" w:rsidRPr="00590007" w:rsidRDefault="00C6480E" w:rsidP="009F230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80" w14:textId="77777777" w:rsidR="00C6480E" w:rsidRPr="00590007" w:rsidRDefault="00C6480E" w:rsidP="009F230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C6480E" w:rsidRPr="00590007" w14:paraId="083D9D87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82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83" w14:textId="79DA2239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84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85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86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C6480E" w:rsidRPr="00590007" w14:paraId="083D9D8D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88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89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8A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8B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8C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C6480E" w:rsidRPr="00590007" w14:paraId="083D9D93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8E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8F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90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91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92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C6480E" w:rsidRPr="00590007" w14:paraId="083D9D96" w14:textId="77777777" w:rsidTr="00590007">
        <w:trPr>
          <w:trHeight w:val="275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94" w14:textId="77777777" w:rsidR="00C6480E" w:rsidRPr="00590007" w:rsidRDefault="00C6480E" w:rsidP="009F2303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95" w14:textId="16B8E548" w:rsidR="00C6480E" w:rsidRPr="00590007" w:rsidRDefault="00C6480E" w:rsidP="004726B5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C55022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  <w:r w:rsidR="00C2366C" w:rsidRPr="00C2366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</w:t>
            </w:r>
            <w:r w:rsidR="00B43929" w:rsidRPr="00B439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="00C550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03</w:t>
            </w:r>
            <w:r w:rsidR="004726B5" w:rsidRPr="00B43929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.202</w:t>
            </w:r>
            <w:r w:rsidR="00C55022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5</w:t>
            </w:r>
            <w:r w:rsidR="004726B5" w:rsidRPr="00B43929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 xml:space="preserve"> do </w:t>
            </w:r>
            <w:r w:rsidR="004D6A6B" w:rsidRPr="00B43929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1</w:t>
            </w:r>
            <w:r w:rsidR="00C55022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0</w:t>
            </w:r>
            <w:r w:rsidR="004726B5" w:rsidRPr="00B43929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.00 hod.</w:t>
            </w:r>
          </w:p>
        </w:tc>
      </w:tr>
      <w:tr w:rsidR="00C6480E" w:rsidRPr="00590007" w14:paraId="083D9D9A" w14:textId="77777777" w:rsidTr="00554075">
        <w:trPr>
          <w:trHeight w:val="27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97" w14:textId="77777777" w:rsidR="00C6480E" w:rsidRPr="00590007" w:rsidRDefault="00C6480E" w:rsidP="009F2303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98" w14:textId="77777777" w:rsidR="00C6480E" w:rsidRPr="004B0D6A" w:rsidRDefault="00C6480E" w:rsidP="009F2303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4B0D6A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99" w14:textId="77777777" w:rsidR="00C6480E" w:rsidRPr="00590007" w:rsidRDefault="00C6480E" w:rsidP="009F2303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C6480E" w:rsidRPr="00590007" w14:paraId="083D9D9D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9B" w14:textId="77777777" w:rsidR="00C6480E" w:rsidRPr="00590007" w:rsidRDefault="00C6480E" w:rsidP="009F2303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3D9D9C" w14:textId="77777777" w:rsidR="00C6480E" w:rsidRPr="00590007" w:rsidRDefault="004726B5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najnižšia cena bez DPH</w:t>
            </w:r>
          </w:p>
        </w:tc>
      </w:tr>
      <w:tr w:rsidR="00C6480E" w:rsidRPr="00590007" w14:paraId="083D9DA1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9E" w14:textId="77777777" w:rsidR="00C6480E" w:rsidRPr="00590007" w:rsidRDefault="00C6480E" w:rsidP="009F2303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3D9DA0" w14:textId="04E9ADED" w:rsidR="00C6480E" w:rsidRPr="004B0D6A" w:rsidRDefault="00C55022" w:rsidP="004B0D6A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Prostredníctvom systému JOSEPHINE</w:t>
            </w:r>
          </w:p>
        </w:tc>
      </w:tr>
      <w:tr w:rsidR="00C6480E" w:rsidRPr="00590007" w14:paraId="083D9DA4" w14:textId="77777777" w:rsidTr="00590007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A2" w14:textId="77777777" w:rsidR="00C6480E" w:rsidRPr="00590007" w:rsidRDefault="00C6480E" w:rsidP="009F2303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3D9DA3" w14:textId="391530C4" w:rsidR="00C6480E" w:rsidRPr="00590007" w:rsidRDefault="00C6480E" w:rsidP="004726B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C2366C" w:rsidRPr="00C236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10</w:t>
            </w:r>
            <w:r w:rsidR="00B43929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.0</w:t>
            </w:r>
            <w:r w:rsidR="00042F9E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3</w:t>
            </w:r>
            <w:r w:rsidR="00B43929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.2025</w:t>
            </w:r>
          </w:p>
        </w:tc>
      </w:tr>
      <w:tr w:rsidR="00C6480E" w:rsidRPr="00590007" w14:paraId="083D9DA9" w14:textId="77777777" w:rsidTr="00590007">
        <w:trPr>
          <w:trHeight w:val="2186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9DA5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083D9DA6" w14:textId="77777777" w:rsidR="00C6480E" w:rsidRPr="00590007" w:rsidRDefault="00C6480E" w:rsidP="009F2303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083D9DA7" w14:textId="77777777" w:rsidR="00C6480E" w:rsidRPr="00590007" w:rsidRDefault="00C6480E" w:rsidP="009F2303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D9DA8" w14:textId="77777777" w:rsidR="00C6480E" w:rsidRPr="00590007" w:rsidRDefault="00C6480E" w:rsidP="00D874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874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Nevyžaduje </w:t>
            </w:r>
          </w:p>
        </w:tc>
      </w:tr>
      <w:tr w:rsidR="00C6480E" w:rsidRPr="00590007" w14:paraId="083D9DAC" w14:textId="77777777" w:rsidTr="00590007">
        <w:trPr>
          <w:trHeight w:val="81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AA" w14:textId="77777777" w:rsidR="00C6480E" w:rsidRPr="00590007" w:rsidRDefault="00C6480E" w:rsidP="009F23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3D9DAB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874EF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</w:t>
            </w:r>
          </w:p>
        </w:tc>
      </w:tr>
      <w:tr w:rsidR="00C6480E" w:rsidRPr="004726B5" w14:paraId="083D9DAF" w14:textId="77777777" w:rsidTr="00042F9E">
        <w:trPr>
          <w:trHeight w:val="363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AD" w14:textId="27C287E9" w:rsidR="00C6480E" w:rsidRPr="004726B5" w:rsidRDefault="00C6480E" w:rsidP="009F2303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726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F455E6" w14:textId="7589ADAE" w:rsidR="00C6480E" w:rsidRDefault="002B1FEB" w:rsidP="009F2303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Elektronická aukcia sa nepo</w:t>
            </w:r>
            <w:r w:rsidR="0022401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uži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je</w:t>
            </w:r>
          </w:p>
          <w:p w14:paraId="42353B65" w14:textId="632B3A28" w:rsidR="0022401B" w:rsidRDefault="0022401B" w:rsidP="009F2303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Zábezpeka ponuky sa nevyžaduje</w:t>
            </w:r>
            <w:r w:rsidR="00F6078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.</w:t>
            </w:r>
          </w:p>
          <w:p w14:paraId="4ECAF660" w14:textId="19A2322E" w:rsidR="00F60780" w:rsidRDefault="00F60780" w:rsidP="009F2303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Miesto dodania predmetu zákazky:</w:t>
            </w:r>
          </w:p>
          <w:p w14:paraId="0AA31378" w14:textId="30281732" w:rsidR="00F60780" w:rsidRDefault="00F60780" w:rsidP="009F2303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6078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V zmysle Zmluvy 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F6078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dielo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14:paraId="0A75ED3B" w14:textId="4E1BFFEC" w:rsidR="008730E6" w:rsidRDefault="008730E6" w:rsidP="009F2303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730E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Lehota dodanie predmetu zákazky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  <w:p w14:paraId="65177F2D" w14:textId="6FD559E0" w:rsidR="008730E6" w:rsidRPr="00D123EE" w:rsidRDefault="00D123EE" w:rsidP="009F2303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123E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V zmysle Zmluvy o dielo</w:t>
            </w:r>
          </w:p>
          <w:p w14:paraId="083D9DAE" w14:textId="12F40704" w:rsidR="002B1FEB" w:rsidRPr="004726B5" w:rsidRDefault="002B1FEB" w:rsidP="009F2303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042F9E" w:rsidRPr="004726B5" w14:paraId="5F8993F4" w14:textId="77777777" w:rsidTr="00D874EF">
        <w:trPr>
          <w:trHeight w:val="363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3AA5" w14:textId="7EEC30E1" w:rsidR="00042F9E" w:rsidRPr="004726B5" w:rsidRDefault="00D123EE" w:rsidP="009F2303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Zoznam dokladov a</w:t>
            </w:r>
            <w:r w:rsidR="00F60BF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dokument</w:t>
            </w:r>
            <w:r w:rsidR="00F60BF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ov predkladaných v rámci cenovej ponuky: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F5AA0E" w14:textId="1B642850" w:rsidR="00042F9E" w:rsidRPr="00AF1823" w:rsidRDefault="00AF1823" w:rsidP="009F2303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AF182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V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yplnená </w:t>
            </w:r>
            <w:r w:rsidR="002B2DC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príloha č. 1 Výkaz – výmer ( </w:t>
            </w:r>
            <w:r w:rsidR="002B2DC8" w:rsidRPr="00B9276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XLS</w:t>
            </w:r>
            <w:r w:rsidR="002B2DC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aj </w:t>
            </w:r>
            <w:r w:rsidR="00B9276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podpísaný </w:t>
            </w:r>
            <w:r w:rsidR="00B92769" w:rsidRPr="00B9276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PDF</w:t>
            </w:r>
            <w:r w:rsidR="00B9276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)</w:t>
            </w:r>
          </w:p>
        </w:tc>
      </w:tr>
    </w:tbl>
    <w:p w14:paraId="083D9DB0" w14:textId="77777777" w:rsidR="00C6480E" w:rsidRDefault="00C6480E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44EA9BD" w14:textId="77777777" w:rsidR="003306D2" w:rsidRDefault="003306D2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4A811097" w14:textId="55880238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b/>
          <w:bCs/>
          <w:color w:val="000000"/>
          <w:lang w:eastAsia="sk-SK"/>
        </w:rPr>
        <w:t>Súťažné podklady, resp. Špecifikácia predmetu zákazky</w:t>
      </w:r>
    </w:p>
    <w:p w14:paraId="54664107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29D40BC" w14:textId="0B223E4C" w:rsidR="00E10D74" w:rsidRPr="0088082C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88082C">
        <w:rPr>
          <w:rFonts w:ascii="Calibri" w:eastAsia="Times New Roman" w:hAnsi="Calibri" w:cs="Times New Roman"/>
          <w:b/>
          <w:bCs/>
          <w:color w:val="000000"/>
          <w:lang w:eastAsia="sk-SK"/>
        </w:rPr>
        <w:t>Stavebné práce  Hlavný</w:t>
      </w:r>
      <w:r w:rsidR="0088082C" w:rsidRPr="0088082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CPV kód</w:t>
      </w:r>
      <w:r w:rsidRPr="0088082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88082C" w:rsidRPr="0088082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: 45230000-8 - </w:t>
      </w:r>
      <w:r w:rsidR="0088082C" w:rsidRPr="0088082C">
        <w:rPr>
          <w:rFonts w:ascii="Calibri" w:eastAsia="Times New Roman" w:hAnsi="Calibri" w:cs="Times New Roman"/>
          <w:color w:val="000000"/>
          <w:lang w:eastAsia="sk-SK"/>
        </w:rPr>
        <w:t>Stavebné práce na stavbe diaľkových potrubných vedení, komunikačných a energetických vedení, na diaľniciach, cestách, letiskách a železniciach; práce na stavbe plôch</w:t>
      </w:r>
    </w:p>
    <w:p w14:paraId="25C956EC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818616B" w14:textId="17C50949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88082C">
        <w:rPr>
          <w:rFonts w:ascii="Calibri" w:eastAsia="Times New Roman" w:hAnsi="Calibri" w:cs="Times New Roman"/>
          <w:b/>
          <w:bCs/>
          <w:color w:val="000000"/>
          <w:lang w:eastAsia="sk-SK"/>
        </w:rPr>
        <w:t>Technická špecifikácia a miesto uskutočnenia stavebných prác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>: V zmysle projektovej dokumentácie stavby „</w:t>
      </w:r>
      <w:r w:rsidR="002C026B" w:rsidRPr="002C026B">
        <w:rPr>
          <w:rFonts w:ascii="Calibri" w:eastAsia="Times New Roman" w:hAnsi="Calibri" w:cs="Times New Roman"/>
          <w:color w:val="000000"/>
          <w:lang w:eastAsia="sk-SK"/>
        </w:rPr>
        <w:t xml:space="preserve">Lesná cesta Zázrivá – </w:t>
      </w:r>
      <w:proofErr w:type="spellStart"/>
      <w:r w:rsidR="002C026B" w:rsidRPr="002C026B">
        <w:rPr>
          <w:rFonts w:ascii="Calibri" w:eastAsia="Times New Roman" w:hAnsi="Calibri" w:cs="Times New Roman"/>
          <w:color w:val="000000"/>
          <w:lang w:eastAsia="sk-SK"/>
        </w:rPr>
        <w:t>Hutirová</w:t>
      </w:r>
      <w:proofErr w:type="spellEnd"/>
      <w:r w:rsidR="002C026B" w:rsidRPr="002C026B">
        <w:rPr>
          <w:rFonts w:ascii="Calibri" w:eastAsia="Times New Roman" w:hAnsi="Calibri" w:cs="Times New Roman"/>
          <w:color w:val="000000"/>
          <w:lang w:eastAsia="sk-SK"/>
        </w:rPr>
        <w:t>, vetva 4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>“</w:t>
      </w:r>
      <w:r w:rsidR="0088082C">
        <w:rPr>
          <w:rFonts w:ascii="Calibri" w:eastAsia="Times New Roman" w:hAnsi="Calibri" w:cs="Times New Roman"/>
          <w:color w:val="000000"/>
          <w:lang w:eastAsia="sk-SK"/>
        </w:rPr>
        <w:t xml:space="preserve">. </w:t>
      </w:r>
      <w:r w:rsidR="0088082C" w:rsidRPr="0088082C">
        <w:rPr>
          <w:rFonts w:ascii="Calibri" w:eastAsia="Times New Roman" w:hAnsi="Calibri" w:cs="Times New Roman"/>
          <w:color w:val="000000"/>
          <w:lang w:eastAsia="sk-SK"/>
        </w:rPr>
        <w:t xml:space="preserve">vypracovanej odborne spôsobilou osobou Ing. </w:t>
      </w:r>
      <w:bookmarkStart w:id="2" w:name="_Hlk190955335"/>
      <w:r w:rsidR="006500BC">
        <w:rPr>
          <w:rFonts w:ascii="Calibri" w:eastAsia="Times New Roman" w:hAnsi="Calibri" w:cs="Times New Roman"/>
          <w:color w:val="000000"/>
          <w:lang w:eastAsia="sk-SK"/>
        </w:rPr>
        <w:t xml:space="preserve">Peter </w:t>
      </w:r>
      <w:proofErr w:type="spellStart"/>
      <w:r w:rsidR="006500BC">
        <w:rPr>
          <w:rFonts w:ascii="Calibri" w:eastAsia="Times New Roman" w:hAnsi="Calibri" w:cs="Times New Roman"/>
          <w:color w:val="000000"/>
          <w:lang w:eastAsia="sk-SK"/>
        </w:rPr>
        <w:t>Maret</w:t>
      </w:r>
      <w:r w:rsidR="00BB761B">
        <w:rPr>
          <w:rFonts w:ascii="Calibri" w:eastAsia="Times New Roman" w:hAnsi="Calibri" w:cs="Times New Roman"/>
          <w:color w:val="000000"/>
          <w:lang w:eastAsia="sk-SK"/>
        </w:rPr>
        <w:t>t</w:t>
      </w:r>
      <w:r w:rsidR="006500BC">
        <w:rPr>
          <w:rFonts w:ascii="Calibri" w:eastAsia="Times New Roman" w:hAnsi="Calibri" w:cs="Times New Roman"/>
          <w:color w:val="000000"/>
          <w:lang w:eastAsia="sk-SK"/>
        </w:rPr>
        <w:t>a</w:t>
      </w:r>
      <w:bookmarkEnd w:id="2"/>
      <w:proofErr w:type="spellEnd"/>
      <w:r w:rsidR="0088082C" w:rsidRPr="0088082C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5C6627">
        <w:rPr>
          <w:rFonts w:ascii="Calibri" w:eastAsia="Times New Roman" w:hAnsi="Calibri" w:cs="Times New Roman"/>
          <w:color w:val="000000"/>
          <w:lang w:eastAsia="sk-SK"/>
        </w:rPr>
        <w:t>, Hlavný projektant</w:t>
      </w:r>
      <w:r w:rsidR="0088082C" w:rsidRPr="0088082C">
        <w:rPr>
          <w:rFonts w:ascii="Calibri" w:eastAsia="Times New Roman" w:hAnsi="Calibri" w:cs="Times New Roman"/>
          <w:color w:val="000000"/>
          <w:lang w:eastAsia="sk-SK"/>
        </w:rPr>
        <w:t>.</w:t>
      </w:r>
    </w:p>
    <w:p w14:paraId="1A5E1CDE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7861FB5" w14:textId="2DF38B4C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Projektant:</w:t>
      </w:r>
      <w:r w:rsidR="0088082C" w:rsidRPr="0088082C">
        <w:t xml:space="preserve"> </w:t>
      </w:r>
      <w:r w:rsidR="0088082C" w:rsidRPr="0088082C">
        <w:rPr>
          <w:rFonts w:ascii="Calibri" w:eastAsia="Times New Roman" w:hAnsi="Calibri" w:cs="Times New Roman"/>
          <w:color w:val="000000"/>
          <w:lang w:eastAsia="sk-SK"/>
        </w:rPr>
        <w:t>Ing</w:t>
      </w:r>
      <w:r w:rsidR="00A83462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A83462" w:rsidRPr="00A83462">
        <w:rPr>
          <w:rFonts w:ascii="Calibri" w:eastAsia="Times New Roman" w:hAnsi="Calibri" w:cs="Times New Roman"/>
          <w:color w:val="000000"/>
          <w:lang w:eastAsia="sk-SK"/>
        </w:rPr>
        <w:t xml:space="preserve">Peter </w:t>
      </w:r>
      <w:proofErr w:type="spellStart"/>
      <w:r w:rsidR="00A83462" w:rsidRPr="00A83462">
        <w:rPr>
          <w:rFonts w:ascii="Calibri" w:eastAsia="Times New Roman" w:hAnsi="Calibri" w:cs="Times New Roman"/>
          <w:color w:val="000000"/>
          <w:lang w:eastAsia="sk-SK"/>
        </w:rPr>
        <w:t>Maretta</w:t>
      </w:r>
      <w:proofErr w:type="spellEnd"/>
      <w:r w:rsidR="009749AC">
        <w:rPr>
          <w:rFonts w:ascii="Calibri" w:eastAsia="Times New Roman" w:hAnsi="Calibri" w:cs="Times New Roman"/>
          <w:color w:val="000000"/>
          <w:lang w:eastAsia="sk-SK"/>
        </w:rPr>
        <w:t xml:space="preserve"> autorizovaný stavebný inžinier. </w:t>
      </w:r>
    </w:p>
    <w:p w14:paraId="49161DC6" w14:textId="77777777" w:rsidR="00E10D74" w:rsidRDefault="00E10D7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00E00A1" w14:textId="77777777" w:rsidR="007D452F" w:rsidRDefault="007D452F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701D26AB" w14:textId="77777777" w:rsidR="007D452F" w:rsidRDefault="007D452F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50296A96" w14:textId="410B7891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b/>
          <w:bCs/>
          <w:color w:val="000000"/>
          <w:lang w:eastAsia="sk-SK"/>
        </w:rPr>
        <w:t>OBCHODNÉ PODMIENKY DODANIA PREDMETU:</w:t>
      </w:r>
    </w:p>
    <w:p w14:paraId="5FEAE876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1E4ED41" w14:textId="6EBD15BD" w:rsidR="00E10D74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1.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ab/>
        <w:t>Termín dodávky – bezprostredne od účinnosti zmluvy.</w:t>
      </w:r>
    </w:p>
    <w:p w14:paraId="1CC4C950" w14:textId="77777777" w:rsidR="0088082C" w:rsidRPr="007F5777" w:rsidRDefault="0088082C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66EB027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F68A454" w14:textId="15E4123C" w:rsidR="00E10D74" w:rsidRPr="00DE79CE" w:rsidRDefault="00E10D74" w:rsidP="00B43929">
      <w:pPr>
        <w:spacing w:after="0" w:line="240" w:lineRule="auto"/>
        <w:ind w:left="705" w:hanging="705"/>
        <w:jc w:val="both"/>
        <w:rPr>
          <w:rFonts w:ascii="Calibri" w:eastAsia="Times New Roman" w:hAnsi="Calibri" w:cs="Times New Roman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2.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ab/>
        <w:t xml:space="preserve">Doba trvania zmluvy–  </w:t>
      </w:r>
      <w:r w:rsidR="00B43929" w:rsidRPr="00B43929">
        <w:rPr>
          <w:rFonts w:ascii="Calibri" w:eastAsia="Times New Roman" w:hAnsi="Calibri" w:cs="Times New Roman"/>
          <w:color w:val="000000"/>
          <w:lang w:eastAsia="sk-SK"/>
        </w:rPr>
        <w:t xml:space="preserve">najviac </w:t>
      </w:r>
      <w:r w:rsidR="0073159F">
        <w:rPr>
          <w:rFonts w:ascii="Calibri" w:eastAsia="Times New Roman" w:hAnsi="Calibri" w:cs="Times New Roman"/>
          <w:color w:val="000000"/>
          <w:lang w:eastAsia="sk-SK"/>
        </w:rPr>
        <w:t>3</w:t>
      </w:r>
      <w:r w:rsidR="00B43929" w:rsidRPr="00B43929">
        <w:rPr>
          <w:rFonts w:ascii="Calibri" w:eastAsia="Times New Roman" w:hAnsi="Calibri" w:cs="Times New Roman"/>
          <w:color w:val="000000"/>
          <w:lang w:eastAsia="sk-SK"/>
        </w:rPr>
        <w:t xml:space="preserve"> mesiac</w:t>
      </w:r>
      <w:r w:rsidR="00B77C15">
        <w:rPr>
          <w:rFonts w:ascii="Calibri" w:eastAsia="Times New Roman" w:hAnsi="Calibri" w:cs="Times New Roman"/>
          <w:color w:val="000000"/>
          <w:lang w:eastAsia="sk-SK"/>
        </w:rPr>
        <w:t>e</w:t>
      </w:r>
      <w:r w:rsidR="00B43929" w:rsidRPr="00B43929">
        <w:rPr>
          <w:rFonts w:ascii="Calibri" w:eastAsia="Times New Roman" w:hAnsi="Calibri" w:cs="Times New Roman"/>
          <w:color w:val="000000"/>
          <w:lang w:eastAsia="sk-SK"/>
        </w:rPr>
        <w:t xml:space="preserve"> od začatia uskutočňovania stavby, s prihliadnutím na nepriaznivé poveternostné podmienky a dané technologické možnosti podľa vzájomnej dohody zmluvných strán najneskôr </w:t>
      </w:r>
      <w:r w:rsidR="00B43929" w:rsidRPr="00DE79CE">
        <w:rPr>
          <w:rFonts w:ascii="Calibri" w:eastAsia="Times New Roman" w:hAnsi="Calibri" w:cs="Times New Roman"/>
          <w:lang w:eastAsia="sk-SK"/>
        </w:rPr>
        <w:t xml:space="preserve">do </w:t>
      </w:r>
      <w:r w:rsidR="0093017F" w:rsidRPr="00DE79CE">
        <w:rPr>
          <w:rFonts w:ascii="Calibri" w:eastAsia="Times New Roman" w:hAnsi="Calibri" w:cs="Times New Roman"/>
          <w:lang w:eastAsia="sk-SK"/>
        </w:rPr>
        <w:t>15.06</w:t>
      </w:r>
      <w:r w:rsidR="00B43929" w:rsidRPr="00DE79CE">
        <w:rPr>
          <w:rFonts w:ascii="Calibri" w:eastAsia="Times New Roman" w:hAnsi="Calibri" w:cs="Times New Roman"/>
          <w:lang w:eastAsia="sk-SK"/>
        </w:rPr>
        <w:t>.2025.</w:t>
      </w:r>
    </w:p>
    <w:p w14:paraId="7E6A824F" w14:textId="77777777" w:rsidR="00475DBC" w:rsidRPr="007F5777" w:rsidRDefault="00475DBC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C751464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AEFDEA9" w14:textId="759CF89C" w:rsidR="00E10D74" w:rsidRPr="006D7F21" w:rsidRDefault="00ED5313" w:rsidP="004C64CD">
      <w:p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3</w:t>
      </w:r>
      <w:r w:rsidR="00E10D74" w:rsidRPr="007F5777">
        <w:rPr>
          <w:rFonts w:ascii="Calibri" w:eastAsia="Times New Roman" w:hAnsi="Calibri" w:cs="Times New Roman"/>
          <w:color w:val="000000"/>
          <w:lang w:eastAsia="sk-SK"/>
        </w:rPr>
        <w:t>.</w:t>
      </w:r>
      <w:r w:rsidR="00E10D74" w:rsidRPr="007F5777">
        <w:rPr>
          <w:rFonts w:ascii="Calibri" w:eastAsia="Times New Roman" w:hAnsi="Calibri" w:cs="Times New Roman"/>
          <w:color w:val="000000"/>
          <w:lang w:eastAsia="sk-SK"/>
        </w:rPr>
        <w:tab/>
      </w:r>
      <w:r w:rsidR="00E10D74" w:rsidRPr="0073159F">
        <w:rPr>
          <w:rFonts w:ascii="Calibri" w:eastAsia="Times New Roman" w:hAnsi="Calibri" w:cs="Times New Roman"/>
          <w:color w:val="000000"/>
          <w:lang w:eastAsia="sk-SK"/>
        </w:rPr>
        <w:t xml:space="preserve">Fakturácia -  </w:t>
      </w:r>
      <w:r w:rsidR="004C309A" w:rsidRPr="0073159F">
        <w:rPr>
          <w:rFonts w:ascii="Calibri" w:eastAsia="Times New Roman" w:hAnsi="Calibri" w:cs="Times New Roman"/>
          <w:color w:val="000000"/>
          <w:lang w:eastAsia="sk-SK"/>
        </w:rPr>
        <w:t>zhotoviteľ</w:t>
      </w:r>
      <w:r w:rsidR="004C309A">
        <w:rPr>
          <w:rFonts w:ascii="Calibri" w:eastAsia="Times New Roman" w:hAnsi="Calibri" w:cs="Times New Roman"/>
          <w:color w:val="000000"/>
          <w:lang w:eastAsia="sk-SK"/>
        </w:rPr>
        <w:t xml:space="preserve"> bude </w:t>
      </w:r>
      <w:r w:rsidR="004238B7">
        <w:rPr>
          <w:rFonts w:ascii="Calibri" w:eastAsia="Times New Roman" w:hAnsi="Calibri" w:cs="Times New Roman"/>
          <w:color w:val="000000"/>
          <w:lang w:eastAsia="sk-SK"/>
        </w:rPr>
        <w:t>fakturovať</w:t>
      </w:r>
      <w:r w:rsidR="004C309A">
        <w:rPr>
          <w:rFonts w:ascii="Calibri" w:eastAsia="Times New Roman" w:hAnsi="Calibri" w:cs="Times New Roman"/>
          <w:color w:val="000000"/>
          <w:lang w:eastAsia="sk-SK"/>
        </w:rPr>
        <w:t xml:space="preserve"> predmet </w:t>
      </w:r>
      <w:r w:rsidR="004238B7">
        <w:rPr>
          <w:rFonts w:ascii="Calibri" w:eastAsia="Times New Roman" w:hAnsi="Calibri" w:cs="Times New Roman"/>
          <w:color w:val="000000"/>
          <w:lang w:eastAsia="sk-SK"/>
        </w:rPr>
        <w:t>zákazky</w:t>
      </w:r>
      <w:r w:rsidR="004C309A">
        <w:rPr>
          <w:rFonts w:ascii="Calibri" w:eastAsia="Times New Roman" w:hAnsi="Calibri" w:cs="Times New Roman"/>
          <w:color w:val="000000"/>
          <w:lang w:eastAsia="sk-SK"/>
        </w:rPr>
        <w:t xml:space="preserve"> až po riadnom zhotovení </w:t>
      </w:r>
      <w:r w:rsidR="004238B7">
        <w:rPr>
          <w:rFonts w:ascii="Calibri" w:eastAsia="Times New Roman" w:hAnsi="Calibri" w:cs="Times New Roman"/>
          <w:color w:val="000000"/>
          <w:lang w:eastAsia="sk-SK"/>
        </w:rPr>
        <w:t>celého diela</w:t>
      </w:r>
      <w:r w:rsidR="004C64CD">
        <w:rPr>
          <w:rFonts w:ascii="Calibri" w:eastAsia="Times New Roman" w:hAnsi="Calibri" w:cs="Times New Roman"/>
          <w:color w:val="000000"/>
          <w:lang w:eastAsia="sk-SK"/>
        </w:rPr>
        <w:t>.</w:t>
      </w:r>
      <w:r w:rsidR="004238B7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93017F" w:rsidRPr="006D7F21">
        <w:rPr>
          <w:rFonts w:ascii="Calibri" w:eastAsia="Times New Roman" w:hAnsi="Calibri" w:cs="Times New Roman"/>
          <w:lang w:eastAsia="sk-SK"/>
        </w:rPr>
        <w:t>Posledná faktúra musí byť vystavená a fyzicky/elektronicky doručená objednávateľovi do 15.06.2025</w:t>
      </w:r>
    </w:p>
    <w:p w14:paraId="347EA556" w14:textId="77777777" w:rsidR="00E10D74" w:rsidRPr="006D7F21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</w:p>
    <w:p w14:paraId="6329A562" w14:textId="77777777" w:rsidR="004A553B" w:rsidRDefault="004A553B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BD538D" w14:textId="7118E582" w:rsidR="00E10D74" w:rsidRPr="007F5777" w:rsidRDefault="00E10D74" w:rsidP="004A553B">
      <w:p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5.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ab/>
        <w:t>Iné dojednania - V zmluve o dielo  v spoločných a záverečných ustanoveniach uviesť, že „Oprávnení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763B1206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4142364" w14:textId="77777777" w:rsidR="004A553B" w:rsidRDefault="004A553B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2F6D29" w14:textId="4FBA95DD" w:rsidR="00E10D74" w:rsidRPr="007F5777" w:rsidRDefault="00E10D74" w:rsidP="004A553B">
      <w:p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6.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ab/>
        <w:t>Súčasťou zmluvy bude rozpočet  členený podľa Prehľadu rozpočtových nákladov v Eur, ktorý vychádza z návrhu uchádzača uvedeného v ponuke</w:t>
      </w:r>
    </w:p>
    <w:p w14:paraId="5CF55314" w14:textId="77777777" w:rsidR="00E10D74" w:rsidRPr="00590007" w:rsidRDefault="00E10D7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2B79206" w14:textId="77777777" w:rsidR="004A553B" w:rsidRDefault="004A553B" w:rsidP="004A553B">
      <w:pPr>
        <w:pStyle w:val="Zkladntext2"/>
        <w:tabs>
          <w:tab w:val="left" w:pos="426"/>
        </w:tabs>
        <w:spacing w:after="240"/>
        <w:jc w:val="both"/>
        <w:rPr>
          <w:sz w:val="22"/>
          <w:szCs w:val="22"/>
        </w:rPr>
      </w:pPr>
    </w:p>
    <w:p w14:paraId="0AEBF362" w14:textId="77777777" w:rsidR="004A553B" w:rsidRDefault="004A553B" w:rsidP="004A553B">
      <w:pPr>
        <w:pStyle w:val="Zkladntext2"/>
        <w:tabs>
          <w:tab w:val="left" w:pos="426"/>
        </w:tabs>
        <w:spacing w:after="240"/>
        <w:jc w:val="both"/>
        <w:rPr>
          <w:sz w:val="22"/>
          <w:szCs w:val="22"/>
        </w:rPr>
      </w:pPr>
    </w:p>
    <w:p w14:paraId="1560C9D5" w14:textId="77777777" w:rsidR="004A553B" w:rsidRDefault="004A553B" w:rsidP="004A553B">
      <w:pPr>
        <w:pStyle w:val="Zkladntext2"/>
        <w:tabs>
          <w:tab w:val="left" w:pos="426"/>
        </w:tabs>
        <w:spacing w:after="240"/>
        <w:jc w:val="both"/>
        <w:rPr>
          <w:sz w:val="22"/>
          <w:szCs w:val="22"/>
        </w:rPr>
      </w:pPr>
    </w:p>
    <w:p w14:paraId="4E3CBA1A" w14:textId="77777777" w:rsidR="004A553B" w:rsidRDefault="004A553B" w:rsidP="004A553B">
      <w:pPr>
        <w:pStyle w:val="Zkladntext2"/>
        <w:tabs>
          <w:tab w:val="left" w:pos="426"/>
        </w:tabs>
        <w:spacing w:after="240"/>
        <w:jc w:val="both"/>
        <w:rPr>
          <w:sz w:val="22"/>
          <w:szCs w:val="22"/>
        </w:rPr>
      </w:pPr>
    </w:p>
    <w:p w14:paraId="083D9DB1" w14:textId="3D2BA3EE" w:rsidR="00C6480E" w:rsidRPr="00590007" w:rsidRDefault="00C6480E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C6480E" w:rsidRPr="00590007" w14:paraId="083D9DB3" w14:textId="77777777" w:rsidTr="009F2303">
        <w:tc>
          <w:tcPr>
            <w:tcW w:w="9062" w:type="dxa"/>
          </w:tcPr>
          <w:p w14:paraId="083D9DB2" w14:textId="77777777" w:rsidR="00C6480E" w:rsidRPr="00590007" w:rsidRDefault="00C6480E" w:rsidP="009F2303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3A624E" w:rsidRPr="00590007" w14:paraId="378251C0" w14:textId="77777777" w:rsidTr="009F2303">
        <w:tc>
          <w:tcPr>
            <w:tcW w:w="9062" w:type="dxa"/>
          </w:tcPr>
          <w:p w14:paraId="6B14D4E0" w14:textId="77777777" w:rsidR="00EB7027" w:rsidRDefault="00EB7027" w:rsidP="00EB7027">
            <w:pPr>
              <w:jc w:val="both"/>
            </w:pPr>
            <w:r>
              <w:t xml:space="preserve">V prípade, že obstarávateľ použil v rámci opisu predmetu zákazky konkrétneho výrobcu, </w:t>
            </w:r>
          </w:p>
          <w:p w14:paraId="1937902F" w14:textId="77777777" w:rsidR="00EB7027" w:rsidRDefault="00EB7027" w:rsidP="00EB7027">
            <w:pPr>
              <w:jc w:val="both"/>
            </w:pPr>
            <w:r>
              <w:t xml:space="preserve">výrobný postup, značku, patent, typ, krajinu, oblasť alebo miesto pôvodu alebo výroby, môže </w:t>
            </w:r>
          </w:p>
          <w:p w14:paraId="65137BD4" w14:textId="547402D8" w:rsidR="003A624E" w:rsidRPr="00590007" w:rsidRDefault="00EB7027" w:rsidP="00EB7027">
            <w:pPr>
              <w:jc w:val="both"/>
              <w:rPr>
                <w:b/>
              </w:rPr>
            </w:pPr>
            <w:r>
              <w:t>uchádzač predložiť ponuku i na technický a funkčný ekvivalent.</w:t>
            </w:r>
          </w:p>
        </w:tc>
      </w:tr>
      <w:tr w:rsidR="00C6480E" w:rsidRPr="00590007" w14:paraId="083D9DB5" w14:textId="77777777" w:rsidTr="009F2303">
        <w:tc>
          <w:tcPr>
            <w:tcW w:w="9062" w:type="dxa"/>
          </w:tcPr>
          <w:p w14:paraId="083D9DB4" w14:textId="77777777" w:rsidR="00C6480E" w:rsidRPr="00590007" w:rsidRDefault="00C6480E" w:rsidP="009F2303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C6480E" w:rsidRPr="00590007" w14:paraId="083D9DB7" w14:textId="77777777" w:rsidTr="009F2303">
        <w:tc>
          <w:tcPr>
            <w:tcW w:w="9062" w:type="dxa"/>
          </w:tcPr>
          <w:p w14:paraId="083D9DB6" w14:textId="77777777" w:rsidR="00C6480E" w:rsidRPr="00590007" w:rsidRDefault="00C6480E" w:rsidP="009F2303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  <w:tr w:rsidR="00BA34F6" w:rsidRPr="00590007" w14:paraId="193B4F4D" w14:textId="77777777" w:rsidTr="009F2303">
        <w:tc>
          <w:tcPr>
            <w:tcW w:w="9062" w:type="dxa"/>
          </w:tcPr>
          <w:p w14:paraId="4EE35C6C" w14:textId="77777777" w:rsidR="00BA34F6" w:rsidRDefault="00BA34F6" w:rsidP="00BA34F6">
            <w:pPr>
              <w:jc w:val="both"/>
            </w:pPr>
            <w:r>
              <w:t xml:space="preserve">Cenová ponuka, ako aj doklady a dokumenty k nej predložené, musí byť vyhotovená v štátnom </w:t>
            </w:r>
          </w:p>
          <w:p w14:paraId="035D8975" w14:textId="77777777" w:rsidR="00BA34F6" w:rsidRDefault="00BA34F6" w:rsidP="00BA34F6">
            <w:pPr>
              <w:jc w:val="both"/>
            </w:pPr>
            <w:r>
              <w:t xml:space="preserve">jazyku. Akýkoľvek doklad alebo dokument predložený v cudzom jazyku musí byť doložený úradným </w:t>
            </w:r>
          </w:p>
          <w:p w14:paraId="28993963" w14:textId="366F0866" w:rsidR="00BA34F6" w:rsidRPr="00590007" w:rsidRDefault="00BA34F6" w:rsidP="00BA34F6">
            <w:pPr>
              <w:jc w:val="both"/>
            </w:pPr>
            <w:r>
              <w:t>prekladom do štátneho jazyka (okrem dokladov v českom jazyku)</w:t>
            </w:r>
          </w:p>
        </w:tc>
      </w:tr>
    </w:tbl>
    <w:p w14:paraId="083D9DB8" w14:textId="77777777" w:rsidR="00C6480E" w:rsidRDefault="00C6480E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83D9DBA" w14:textId="77777777" w:rsidR="00C6480E" w:rsidRPr="00590007" w:rsidRDefault="00C6480E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5D50DB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5CBBE372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4AA6509C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7030B6BD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6FE2F815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48B23C18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4DA6D83E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083D9DBB" w14:textId="78B833C4" w:rsidR="00C6480E" w:rsidRPr="00590007" w:rsidRDefault="00C6480E" w:rsidP="00780525">
      <w:pPr>
        <w:spacing w:after="0" w:line="240" w:lineRule="auto"/>
        <w:jc w:val="right"/>
        <w:rPr>
          <w:rFonts w:ascii="Calibri" w:eastAsia="Times New Roman" w:hAnsi="Calibri" w:cs="Times New Roman"/>
          <w:bCs/>
          <w:color w:val="000000"/>
          <w:lang w:eastAsia="sk-SK"/>
        </w:rPr>
      </w:pPr>
      <w:r w:rsidRPr="002024DA">
        <w:rPr>
          <w:rFonts w:ascii="Calibri" w:eastAsia="Times New Roman" w:hAnsi="Calibri" w:cs="Times New Roman"/>
          <w:bCs/>
          <w:noProof/>
          <w:color w:val="000000"/>
          <w:lang w:eastAsia="sk-SK"/>
        </w:rPr>
        <w:t>Ing. Milan Ovseník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480E" w:rsidRPr="00590007" w14:paraId="083D9DBF" w14:textId="77777777" w:rsidTr="009F2303">
        <w:tc>
          <w:tcPr>
            <w:tcW w:w="3020" w:type="dxa"/>
          </w:tcPr>
          <w:p w14:paraId="083D9DBC" w14:textId="33079714" w:rsidR="00C6480E" w:rsidRPr="0093017F" w:rsidRDefault="0093017F" w:rsidP="009F2303">
            <w:pPr>
              <w:jc w:val="both"/>
              <w:rPr>
                <w:rFonts w:ascii="Calibri" w:eastAsia="Times New Roman" w:hAnsi="Calibri" w:cs="Times New Roman"/>
                <w:bCs/>
                <w:color w:val="FF0000"/>
                <w:lang w:eastAsia="sk-SK"/>
              </w:rPr>
            </w:pPr>
            <w:r w:rsidRPr="006D7F21">
              <w:rPr>
                <w:rFonts w:ascii="Calibri" w:eastAsia="Times New Roman" w:hAnsi="Calibri" w:cs="Times New Roman"/>
                <w:bCs/>
                <w:noProof/>
                <w:lang w:eastAsia="sk-SK"/>
              </w:rPr>
              <w:t>Bytča</w:t>
            </w:r>
          </w:p>
        </w:tc>
        <w:tc>
          <w:tcPr>
            <w:tcW w:w="3021" w:type="dxa"/>
          </w:tcPr>
          <w:p w14:paraId="083D9DBD" w14:textId="5D9A3129" w:rsidR="00C6480E" w:rsidRPr="0093017F" w:rsidRDefault="00C6480E" w:rsidP="0093017F">
            <w:pPr>
              <w:jc w:val="both"/>
              <w:rPr>
                <w:rFonts w:ascii="Calibri" w:eastAsia="Times New Roman" w:hAnsi="Calibri" w:cs="Times New Roman"/>
                <w:bCs/>
                <w:color w:val="FF0000"/>
                <w:lang w:eastAsia="sk-SK"/>
              </w:rPr>
            </w:pPr>
            <w:r w:rsidRPr="006D7F21">
              <w:rPr>
                <w:rFonts w:ascii="Calibri" w:eastAsia="Times New Roman" w:hAnsi="Calibri" w:cs="Times New Roman"/>
                <w:bCs/>
                <w:lang w:eastAsia="sk-SK"/>
              </w:rPr>
              <w:t xml:space="preserve">dňa </w:t>
            </w:r>
            <w:r w:rsidR="0093017F" w:rsidRPr="006D7F21">
              <w:rPr>
                <w:rFonts w:ascii="Calibri" w:eastAsia="Times New Roman" w:hAnsi="Calibri" w:cs="Times New Roman"/>
                <w:bCs/>
                <w:lang w:eastAsia="sk-SK"/>
              </w:rPr>
              <w:t>24.02.2025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83D9DBE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C6480E" w:rsidRPr="00590007" w14:paraId="083D9DC5" w14:textId="77777777" w:rsidTr="009F2303">
        <w:tc>
          <w:tcPr>
            <w:tcW w:w="3020" w:type="dxa"/>
          </w:tcPr>
          <w:p w14:paraId="083D9DC0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83D9DC2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083D9DC3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83D9DC4" w14:textId="77777777" w:rsidR="00C6480E" w:rsidRPr="00590007" w:rsidRDefault="00C6480E" w:rsidP="009F2303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6"/>
            </w:r>
          </w:p>
        </w:tc>
      </w:tr>
    </w:tbl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C6480E" w:rsidRPr="00590007" w14:paraId="083D9DC9" w14:textId="77777777" w:rsidTr="004C4C72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B10C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038EADDF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73C32FF1" w14:textId="77777777" w:rsidR="00FB331D" w:rsidRDefault="00FB331D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5445393D" w14:textId="77777777" w:rsidR="00FB331D" w:rsidRDefault="00FB331D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06A04D42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083D9DC7" w14:textId="13B0F47E" w:rsidR="00C6480E" w:rsidRPr="00590007" w:rsidRDefault="00C6480E" w:rsidP="009F2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D04A" w14:textId="77777777" w:rsidR="00FB331D" w:rsidRPr="00FB331D" w:rsidRDefault="00FB331D" w:rsidP="00FB33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05876F4" w14:textId="3AF1978D" w:rsidR="00FB331D" w:rsidRDefault="00FB331D" w:rsidP="009F230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Výzva na predloženie ponuky</w:t>
            </w:r>
          </w:p>
          <w:p w14:paraId="083D9DC8" w14:textId="21E3CB0E" w:rsidR="00C6480E" w:rsidRPr="00590007" w:rsidRDefault="00FB331D" w:rsidP="009F230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DD273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Výkaz-Výmer, </w:t>
            </w:r>
          </w:p>
        </w:tc>
      </w:tr>
      <w:tr w:rsidR="00C6480E" w:rsidRPr="00590007" w14:paraId="083D9DCE" w14:textId="77777777" w:rsidTr="004C4C72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9DCA" w14:textId="77777777" w:rsidR="00C6480E" w:rsidRPr="00590007" w:rsidRDefault="00C6480E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8A5B" w14:textId="56DB40F4" w:rsidR="00C6480E" w:rsidRPr="004658C3" w:rsidRDefault="00C6480E" w:rsidP="004658C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658C3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7"/>
            </w:r>
            <w:r w:rsidR="00AE3FB3" w:rsidRPr="004658C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3D9DCD" w14:textId="612A536A" w:rsidR="00AE3FB3" w:rsidRPr="009F2303" w:rsidRDefault="00BA381C" w:rsidP="000B22E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 o dielo</w:t>
            </w:r>
          </w:p>
        </w:tc>
      </w:tr>
    </w:tbl>
    <w:p w14:paraId="041CF149" w14:textId="6CF84AA1" w:rsidR="005D47E1" w:rsidRPr="006E562D" w:rsidRDefault="005D47E1" w:rsidP="000B22EF">
      <w:pPr>
        <w:tabs>
          <w:tab w:val="left" w:pos="1935"/>
        </w:tabs>
        <w:jc w:val="both"/>
      </w:pPr>
    </w:p>
    <w:sectPr w:rsidR="005D47E1" w:rsidRPr="006E562D" w:rsidSect="005D47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9084" w14:textId="77777777" w:rsidR="00BA1C7A" w:rsidRDefault="00BA1C7A" w:rsidP="00590007">
      <w:pPr>
        <w:spacing w:after="0" w:line="240" w:lineRule="auto"/>
      </w:pPr>
      <w:r>
        <w:separator/>
      </w:r>
    </w:p>
  </w:endnote>
  <w:endnote w:type="continuationSeparator" w:id="0">
    <w:p w14:paraId="665EDD18" w14:textId="77777777" w:rsidR="00BA1C7A" w:rsidRDefault="00BA1C7A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C530E9" w:rsidRPr="006A7D0D" w14:paraId="083D9EC2" w14:textId="77777777" w:rsidTr="009F2303">
      <w:tc>
        <w:tcPr>
          <w:tcW w:w="970" w:type="dxa"/>
        </w:tcPr>
        <w:p w14:paraId="083D9EBE" w14:textId="77777777" w:rsidR="00C530E9" w:rsidRPr="006A7D0D" w:rsidRDefault="00C530E9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083D9EBF" w14:textId="77777777" w:rsidR="00C530E9" w:rsidRPr="006A7D0D" w:rsidRDefault="00C530E9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83D9EC0" w14:textId="77777777" w:rsidR="00C530E9" w:rsidRPr="006A7D0D" w:rsidRDefault="00C530E9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083D9EC1" w14:textId="77777777" w:rsidR="00C530E9" w:rsidRPr="006A7D0D" w:rsidRDefault="00C530E9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93017F">
            <w:rPr>
              <w:noProof/>
              <w:sz w:val="20"/>
            </w:rPr>
            <w:t>5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93017F">
            <w:rPr>
              <w:noProof/>
              <w:sz w:val="20"/>
            </w:rPr>
            <w:t>5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083D9EC3" w14:textId="77777777" w:rsidR="00C530E9" w:rsidRDefault="00C530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E55E8" w14:textId="77777777" w:rsidR="00BA1C7A" w:rsidRDefault="00BA1C7A" w:rsidP="00590007">
      <w:pPr>
        <w:spacing w:after="0" w:line="240" w:lineRule="auto"/>
      </w:pPr>
      <w:r>
        <w:separator/>
      </w:r>
    </w:p>
  </w:footnote>
  <w:footnote w:type="continuationSeparator" w:id="0">
    <w:p w14:paraId="6B3B97CE" w14:textId="77777777" w:rsidR="00BA1C7A" w:rsidRDefault="00BA1C7A" w:rsidP="00590007">
      <w:pPr>
        <w:spacing w:after="0" w:line="240" w:lineRule="auto"/>
      </w:pPr>
      <w:r>
        <w:continuationSeparator/>
      </w:r>
    </w:p>
  </w:footnote>
  <w:footnote w:id="1">
    <w:p w14:paraId="083D9EC4" w14:textId="77777777" w:rsidR="00C530E9" w:rsidRDefault="00C530E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83D9EC5" w14:textId="77777777" w:rsidR="00C530E9" w:rsidRDefault="00C530E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</w:t>
      </w:r>
    </w:p>
  </w:footnote>
  <w:footnote w:id="3">
    <w:p w14:paraId="083D9EC6" w14:textId="77777777" w:rsidR="00C530E9" w:rsidRDefault="00C530E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083D9EC7" w14:textId="77777777" w:rsidR="00C530E9" w:rsidRDefault="00C530E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083D9EC8" w14:textId="77777777" w:rsidR="00C530E9" w:rsidRPr="00680402" w:rsidRDefault="00C530E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083D9ECA" w14:textId="77777777" w:rsidR="00C530E9" w:rsidRDefault="00C530E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  <w:footnote w:id="7">
    <w:p w14:paraId="083D9ECC" w14:textId="77777777" w:rsidR="00C530E9" w:rsidRPr="007E23C1" w:rsidRDefault="00C530E9" w:rsidP="00746CDA">
      <w:pPr>
        <w:pStyle w:val="Textpoznmkypodiarou"/>
        <w:ind w:left="0"/>
        <w:jc w:val="both"/>
        <w:rPr>
          <w:rStyle w:val="Odkaznapoznmkupodiarou"/>
        </w:rPr>
      </w:pPr>
      <w:r w:rsidRPr="00680402">
        <w:rPr>
          <w:rStyle w:val="Odkaznapoznmkupodiarou"/>
          <w:sz w:val="18"/>
          <w:szCs w:val="18"/>
        </w:rPr>
        <w:footnoteRef/>
      </w:r>
      <w:r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  <w:r w:rsidRPr="007E23C1">
        <w:rPr>
          <w:rStyle w:val="Odkaznapoznmkupodiaro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9EBC" w14:textId="77777777" w:rsidR="00C530E9" w:rsidRPr="00B20A86" w:rsidRDefault="00C530E9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083D9EBD" w14:textId="77777777" w:rsidR="00C530E9" w:rsidRPr="00590007" w:rsidRDefault="00C530E9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D6A38"/>
    <w:multiLevelType w:val="hybridMultilevel"/>
    <w:tmpl w:val="86D41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06A3"/>
    <w:multiLevelType w:val="hybridMultilevel"/>
    <w:tmpl w:val="0FCEAF9E"/>
    <w:lvl w:ilvl="0" w:tplc="CA8E5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6929A2"/>
    <w:multiLevelType w:val="hybridMultilevel"/>
    <w:tmpl w:val="C792BB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52288">
    <w:abstractNumId w:val="1"/>
  </w:num>
  <w:num w:numId="2" w16cid:durableId="814689591">
    <w:abstractNumId w:val="2"/>
  </w:num>
  <w:num w:numId="3" w16cid:durableId="1056246470">
    <w:abstractNumId w:val="3"/>
  </w:num>
  <w:num w:numId="4" w16cid:durableId="186602256">
    <w:abstractNumId w:val="4"/>
  </w:num>
  <w:num w:numId="5" w16cid:durableId="96955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07"/>
    <w:rsid w:val="00010ADE"/>
    <w:rsid w:val="000226B8"/>
    <w:rsid w:val="00027958"/>
    <w:rsid w:val="00042B00"/>
    <w:rsid w:val="00042F9E"/>
    <w:rsid w:val="00047008"/>
    <w:rsid w:val="000B22EF"/>
    <w:rsid w:val="000D326A"/>
    <w:rsid w:val="000F1B89"/>
    <w:rsid w:val="00126095"/>
    <w:rsid w:val="00180373"/>
    <w:rsid w:val="001C216A"/>
    <w:rsid w:val="001D58F7"/>
    <w:rsid w:val="00220D25"/>
    <w:rsid w:val="0022401B"/>
    <w:rsid w:val="00230C5A"/>
    <w:rsid w:val="00284EB0"/>
    <w:rsid w:val="002863E9"/>
    <w:rsid w:val="002B1FEB"/>
    <w:rsid w:val="002B2DC8"/>
    <w:rsid w:val="002C026B"/>
    <w:rsid w:val="002C0773"/>
    <w:rsid w:val="002D36F1"/>
    <w:rsid w:val="00310B5F"/>
    <w:rsid w:val="00322C9C"/>
    <w:rsid w:val="003306D2"/>
    <w:rsid w:val="00331DD4"/>
    <w:rsid w:val="00347604"/>
    <w:rsid w:val="003476DE"/>
    <w:rsid w:val="0036448D"/>
    <w:rsid w:val="003A624E"/>
    <w:rsid w:val="003B159C"/>
    <w:rsid w:val="003E472B"/>
    <w:rsid w:val="003F1627"/>
    <w:rsid w:val="004238B7"/>
    <w:rsid w:val="00443F8B"/>
    <w:rsid w:val="00461F03"/>
    <w:rsid w:val="004658C3"/>
    <w:rsid w:val="004726B5"/>
    <w:rsid w:val="00475DBC"/>
    <w:rsid w:val="004A553B"/>
    <w:rsid w:val="004B0D6A"/>
    <w:rsid w:val="004B3D93"/>
    <w:rsid w:val="004C309A"/>
    <w:rsid w:val="004C31C7"/>
    <w:rsid w:val="004C4C72"/>
    <w:rsid w:val="004C64CD"/>
    <w:rsid w:val="004D1CD4"/>
    <w:rsid w:val="004D6A6B"/>
    <w:rsid w:val="004E0BCF"/>
    <w:rsid w:val="004E3B20"/>
    <w:rsid w:val="00542CC0"/>
    <w:rsid w:val="00545BE5"/>
    <w:rsid w:val="00554075"/>
    <w:rsid w:val="005548C9"/>
    <w:rsid w:val="00566EDB"/>
    <w:rsid w:val="00590007"/>
    <w:rsid w:val="00591D7C"/>
    <w:rsid w:val="005C6627"/>
    <w:rsid w:val="005D47E1"/>
    <w:rsid w:val="005E2BC8"/>
    <w:rsid w:val="005E56D3"/>
    <w:rsid w:val="005F7D3F"/>
    <w:rsid w:val="00635EC1"/>
    <w:rsid w:val="006455EC"/>
    <w:rsid w:val="006500BC"/>
    <w:rsid w:val="00686341"/>
    <w:rsid w:val="006A1487"/>
    <w:rsid w:val="006D6E3B"/>
    <w:rsid w:val="006D7F21"/>
    <w:rsid w:val="006E562D"/>
    <w:rsid w:val="0073159F"/>
    <w:rsid w:val="00746CDA"/>
    <w:rsid w:val="00760FCC"/>
    <w:rsid w:val="00780525"/>
    <w:rsid w:val="00780772"/>
    <w:rsid w:val="007D452F"/>
    <w:rsid w:val="007E23C1"/>
    <w:rsid w:val="007F7A76"/>
    <w:rsid w:val="008415DA"/>
    <w:rsid w:val="008730E6"/>
    <w:rsid w:val="0088082C"/>
    <w:rsid w:val="008A4F88"/>
    <w:rsid w:val="008E4FFA"/>
    <w:rsid w:val="008F151B"/>
    <w:rsid w:val="00905579"/>
    <w:rsid w:val="00911F65"/>
    <w:rsid w:val="00913B93"/>
    <w:rsid w:val="00926E70"/>
    <w:rsid w:val="0093017F"/>
    <w:rsid w:val="00962C37"/>
    <w:rsid w:val="009749AC"/>
    <w:rsid w:val="009A0CF2"/>
    <w:rsid w:val="009C182B"/>
    <w:rsid w:val="009F2303"/>
    <w:rsid w:val="009F5B11"/>
    <w:rsid w:val="00A10B7B"/>
    <w:rsid w:val="00A56CA8"/>
    <w:rsid w:val="00A64373"/>
    <w:rsid w:val="00A83462"/>
    <w:rsid w:val="00A83FA3"/>
    <w:rsid w:val="00A86339"/>
    <w:rsid w:val="00AC4F84"/>
    <w:rsid w:val="00AE3FB3"/>
    <w:rsid w:val="00AF1823"/>
    <w:rsid w:val="00B43929"/>
    <w:rsid w:val="00B77C15"/>
    <w:rsid w:val="00B81545"/>
    <w:rsid w:val="00B92769"/>
    <w:rsid w:val="00BA1C7A"/>
    <w:rsid w:val="00BA34F6"/>
    <w:rsid w:val="00BA381C"/>
    <w:rsid w:val="00BB5604"/>
    <w:rsid w:val="00BB761B"/>
    <w:rsid w:val="00BD4475"/>
    <w:rsid w:val="00C2366C"/>
    <w:rsid w:val="00C36C6E"/>
    <w:rsid w:val="00C530E9"/>
    <w:rsid w:val="00C55022"/>
    <w:rsid w:val="00C55E13"/>
    <w:rsid w:val="00C6480E"/>
    <w:rsid w:val="00C773F4"/>
    <w:rsid w:val="00C961F5"/>
    <w:rsid w:val="00D04313"/>
    <w:rsid w:val="00D123EE"/>
    <w:rsid w:val="00D312C3"/>
    <w:rsid w:val="00D44E54"/>
    <w:rsid w:val="00D615E9"/>
    <w:rsid w:val="00D62F83"/>
    <w:rsid w:val="00D874EF"/>
    <w:rsid w:val="00DA6EA6"/>
    <w:rsid w:val="00DB050C"/>
    <w:rsid w:val="00DC033F"/>
    <w:rsid w:val="00DD10DD"/>
    <w:rsid w:val="00DD2731"/>
    <w:rsid w:val="00DD518F"/>
    <w:rsid w:val="00DE79CE"/>
    <w:rsid w:val="00E10D74"/>
    <w:rsid w:val="00E17E55"/>
    <w:rsid w:val="00E872A5"/>
    <w:rsid w:val="00EA3BBA"/>
    <w:rsid w:val="00EB22E1"/>
    <w:rsid w:val="00EB7027"/>
    <w:rsid w:val="00ED4B8A"/>
    <w:rsid w:val="00ED5313"/>
    <w:rsid w:val="00F10BED"/>
    <w:rsid w:val="00F15D6D"/>
    <w:rsid w:val="00F35CBD"/>
    <w:rsid w:val="00F417D5"/>
    <w:rsid w:val="00F423D7"/>
    <w:rsid w:val="00F5319A"/>
    <w:rsid w:val="00F60780"/>
    <w:rsid w:val="00F60BFE"/>
    <w:rsid w:val="00F71676"/>
    <w:rsid w:val="00F724D9"/>
    <w:rsid w:val="00F76680"/>
    <w:rsid w:val="00FB331D"/>
    <w:rsid w:val="00FC1D1C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9D47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4F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C3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815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9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32BF-F575-42AC-84FC-C4B8C7D5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Benková Adriana, Bc.</cp:lastModifiedBy>
  <cp:revision>4</cp:revision>
  <cp:lastPrinted>2024-09-07T14:01:00Z</cp:lastPrinted>
  <dcterms:created xsi:type="dcterms:W3CDTF">2025-02-24T11:45:00Z</dcterms:created>
  <dcterms:modified xsi:type="dcterms:W3CDTF">2025-02-24T12:32:00Z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